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859CC" w14:textId="77777777" w:rsidR="00607B25" w:rsidRDefault="00607B25" w:rsidP="00607B25">
      <w:pPr>
        <w:pStyle w:val="CRCoverPage"/>
        <w:tabs>
          <w:tab w:val="right" w:pos="8640"/>
        </w:tabs>
        <w:spacing w:after="0"/>
        <w:ind w:right="1260"/>
        <w:rPr>
          <w:b/>
          <w:noProof/>
          <w:sz w:val="24"/>
        </w:rPr>
      </w:pPr>
    </w:p>
    <w:p w14:paraId="28C9CD3D" w14:textId="5693BDE0" w:rsidR="00607B25" w:rsidRDefault="00607B25" w:rsidP="00607B25">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487CB9">
        <w:rPr>
          <w:rFonts w:ascii="Arial" w:eastAsia="Times New Roman" w:hAnsi="Arial"/>
          <w:b/>
          <w:sz w:val="24"/>
          <w:szCs w:val="24"/>
        </w:rPr>
        <w:t>3</w:t>
      </w:r>
      <w:r>
        <w:rPr>
          <w:rFonts w:ascii="Arial" w:eastAsia="Times New Roman" w:hAnsi="Arial"/>
          <w:b/>
          <w:sz w:val="24"/>
          <w:szCs w:val="24"/>
        </w:rPr>
        <w:t xml:space="preserve"> Meeting #10</w:t>
      </w:r>
      <w:r w:rsidR="00487CB9">
        <w:rPr>
          <w:rFonts w:ascii="Arial" w:eastAsia="Times New Roman" w:hAnsi="Arial"/>
          <w:b/>
          <w:sz w:val="24"/>
          <w:szCs w:val="24"/>
        </w:rPr>
        <w:t>5</w:t>
      </w:r>
      <w:r>
        <w:rPr>
          <w:rFonts w:ascii="Arial" w:eastAsia="Times New Roman" w:hAnsi="Arial"/>
          <w:b/>
          <w:sz w:val="24"/>
          <w:szCs w:val="24"/>
        </w:rPr>
        <w:t xml:space="preserve">bis                                                      </w:t>
      </w:r>
      <w:r w:rsidR="00046947" w:rsidRPr="00046947">
        <w:rPr>
          <w:rFonts w:ascii="Arial" w:hAnsi="Arial" w:cs="Arial"/>
          <w:b/>
          <w:bCs/>
          <w:color w:val="000000"/>
          <w:sz w:val="26"/>
          <w:szCs w:val="26"/>
        </w:rPr>
        <w:t>R2-19</w:t>
      </w:r>
      <w:r w:rsidR="00487CB9">
        <w:rPr>
          <w:rFonts w:ascii="Arial" w:hAnsi="Arial" w:cs="Arial"/>
          <w:b/>
          <w:bCs/>
          <w:color w:val="000000"/>
          <w:sz w:val="26"/>
          <w:szCs w:val="26"/>
        </w:rPr>
        <w:t>5491</w:t>
      </w:r>
    </w:p>
    <w:p w14:paraId="60D366D0" w14:textId="4D3B5717" w:rsidR="00607B25" w:rsidRDefault="00607B25" w:rsidP="00607B25">
      <w:pPr>
        <w:widowControl w:val="0"/>
        <w:tabs>
          <w:tab w:val="right" w:pos="9639"/>
        </w:tabs>
        <w:spacing w:after="0"/>
        <w:rPr>
          <w:rFonts w:ascii="Arial" w:hAnsi="Arial"/>
          <w:b/>
          <w:sz w:val="24"/>
          <w:szCs w:val="24"/>
          <w:lang w:eastAsia="zh-CN"/>
        </w:rPr>
      </w:pPr>
      <w:r>
        <w:rPr>
          <w:rFonts w:ascii="Arial" w:hAnsi="Arial"/>
          <w:b/>
          <w:sz w:val="24"/>
          <w:szCs w:val="24"/>
          <w:lang w:eastAsia="zh-CN"/>
        </w:rPr>
        <w:t>Chongqing, CN</w:t>
      </w:r>
      <w:r w:rsidRPr="00605D6C">
        <w:rPr>
          <w:rFonts w:ascii="Arial" w:hAnsi="Arial"/>
          <w:b/>
          <w:sz w:val="24"/>
          <w:szCs w:val="24"/>
          <w:lang w:eastAsia="zh-CN"/>
        </w:rPr>
        <w:t>,</w:t>
      </w:r>
      <w:r>
        <w:rPr>
          <w:rFonts w:ascii="Arial" w:hAnsi="Arial"/>
          <w:b/>
          <w:sz w:val="24"/>
          <w:szCs w:val="24"/>
          <w:lang w:eastAsia="zh-CN"/>
        </w:rPr>
        <w:t xml:space="preserve"> Oct 14</w:t>
      </w:r>
      <w:r w:rsidRPr="00607B25">
        <w:rPr>
          <w:rFonts w:ascii="Arial" w:hAnsi="Arial"/>
          <w:b/>
          <w:sz w:val="24"/>
          <w:szCs w:val="24"/>
          <w:vertAlign w:val="superscript"/>
          <w:lang w:eastAsia="zh-CN"/>
        </w:rPr>
        <w:t>th</w:t>
      </w:r>
      <w:r>
        <w:rPr>
          <w:rFonts w:ascii="Arial" w:hAnsi="Arial"/>
          <w:b/>
          <w:sz w:val="24"/>
          <w:szCs w:val="24"/>
          <w:lang w:eastAsia="zh-CN"/>
        </w:rPr>
        <w:t xml:space="preserve"> – Oct 18</w:t>
      </w:r>
      <w:r w:rsidRPr="00607B25">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 xml:space="preserve">9                             </w:t>
      </w:r>
      <w:r>
        <w:rPr>
          <w:rFonts w:ascii="Arial" w:hAnsi="Arial"/>
          <w:b/>
          <w:sz w:val="24"/>
          <w:szCs w:val="24"/>
          <w:lang w:eastAsia="zh-CN"/>
        </w:rPr>
        <w:tab/>
      </w:r>
    </w:p>
    <w:p w14:paraId="291C289C" w14:textId="77777777" w:rsidR="00607B25" w:rsidRPr="006D3016" w:rsidRDefault="00607B25" w:rsidP="00607B25">
      <w:pPr>
        <w:widowControl w:val="0"/>
        <w:spacing w:after="0"/>
        <w:rPr>
          <w:rFonts w:ascii="Arial" w:eastAsia="Times New Roman" w:hAnsi="Arial"/>
          <w:b/>
          <w:bCs/>
          <w:sz w:val="24"/>
        </w:rPr>
      </w:pPr>
    </w:p>
    <w:p w14:paraId="384EA37E" w14:textId="6F860C22" w:rsidR="00607B25" w:rsidRPr="006D3016" w:rsidRDefault="00607B25" w:rsidP="00607B2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87CB9">
        <w:rPr>
          <w:rFonts w:ascii="Arial" w:eastAsia="MS Mincho" w:hAnsi="Arial" w:cs="Arial"/>
          <w:b/>
          <w:bCs/>
          <w:sz w:val="24"/>
        </w:rPr>
        <w:t>15.3.1</w:t>
      </w:r>
    </w:p>
    <w:p w14:paraId="3BE2E2CE" w14:textId="77777777" w:rsidR="00607B25" w:rsidRDefault="00607B25" w:rsidP="00607B2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A23BE00" w14:textId="50ABB5FE" w:rsidR="00607B25" w:rsidRPr="006D3016"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3B5055">
        <w:rPr>
          <w:rFonts w:ascii="Arial" w:eastAsia="Times New Roman" w:hAnsi="Arial" w:cs="Arial"/>
          <w:b/>
          <w:bCs/>
          <w:sz w:val="24"/>
        </w:rPr>
        <w:t xml:space="preserve">Conditional </w:t>
      </w:r>
      <w:r w:rsidR="0028035A">
        <w:rPr>
          <w:rFonts w:ascii="Arial" w:eastAsia="Times New Roman" w:hAnsi="Arial" w:cs="Arial"/>
          <w:b/>
          <w:bCs/>
          <w:sz w:val="24"/>
        </w:rPr>
        <w:t xml:space="preserve">NR </w:t>
      </w:r>
      <w:r w:rsidR="00B7732A">
        <w:rPr>
          <w:rFonts w:ascii="Arial" w:eastAsia="Times New Roman" w:hAnsi="Arial" w:cs="Arial"/>
          <w:b/>
          <w:bCs/>
          <w:sz w:val="24"/>
        </w:rPr>
        <w:t>SN</w:t>
      </w:r>
      <w:r w:rsidR="0028035A">
        <w:rPr>
          <w:rFonts w:ascii="Arial" w:eastAsia="Times New Roman" w:hAnsi="Arial" w:cs="Arial"/>
          <w:b/>
          <w:bCs/>
          <w:sz w:val="24"/>
        </w:rPr>
        <w:t xml:space="preserve"> </w:t>
      </w:r>
      <w:r w:rsidR="00B7732A">
        <w:rPr>
          <w:rFonts w:ascii="Arial" w:eastAsia="Times New Roman" w:hAnsi="Arial" w:cs="Arial"/>
          <w:b/>
          <w:bCs/>
          <w:sz w:val="24"/>
        </w:rPr>
        <w:t>A</w:t>
      </w:r>
      <w:r w:rsidR="0028035A">
        <w:rPr>
          <w:rFonts w:ascii="Arial" w:eastAsia="Times New Roman" w:hAnsi="Arial" w:cs="Arial"/>
          <w:b/>
          <w:bCs/>
          <w:sz w:val="24"/>
        </w:rPr>
        <w:t>ddition/</w:t>
      </w:r>
      <w:r w:rsidR="00B7732A">
        <w:rPr>
          <w:rFonts w:ascii="Arial" w:eastAsia="Times New Roman" w:hAnsi="Arial" w:cs="Arial"/>
          <w:b/>
          <w:bCs/>
          <w:sz w:val="24"/>
        </w:rPr>
        <w:t>C</w:t>
      </w:r>
      <w:r w:rsidR="0028035A">
        <w:rPr>
          <w:rFonts w:ascii="Arial" w:eastAsia="Times New Roman" w:hAnsi="Arial" w:cs="Arial"/>
          <w:b/>
          <w:bCs/>
          <w:sz w:val="24"/>
        </w:rPr>
        <w:t xml:space="preserve">hange </w:t>
      </w:r>
      <w:r w:rsidR="00B7732A">
        <w:rPr>
          <w:rFonts w:ascii="Arial" w:eastAsia="Times New Roman" w:hAnsi="Arial" w:cs="Arial"/>
          <w:b/>
          <w:bCs/>
          <w:sz w:val="24"/>
        </w:rPr>
        <w:t>P</w:t>
      </w:r>
      <w:r w:rsidR="0028035A">
        <w:rPr>
          <w:rFonts w:ascii="Arial" w:eastAsia="Times New Roman" w:hAnsi="Arial" w:cs="Arial"/>
          <w:b/>
          <w:bCs/>
          <w:sz w:val="24"/>
        </w:rPr>
        <w:t>rocedures</w:t>
      </w:r>
      <w:bookmarkStart w:id="1" w:name="_GoBack"/>
      <w:bookmarkEnd w:id="1"/>
    </w:p>
    <w:p w14:paraId="183CAC37" w14:textId="77777777" w:rsidR="00607B25"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AA785E1" w14:textId="77777777" w:rsidR="00607B25" w:rsidRPr="006D3016"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7C80904" w14:textId="77777777" w:rsidR="00607B25" w:rsidRDefault="00607B25" w:rsidP="00607B25">
      <w:pPr>
        <w:pStyle w:val="Heading1"/>
        <w:numPr>
          <w:ilvl w:val="0"/>
          <w:numId w:val="1"/>
        </w:numPr>
        <w:pBdr>
          <w:top w:val="single" w:sz="12" w:space="2" w:color="auto"/>
        </w:pBdr>
      </w:pPr>
      <w:r>
        <w:t xml:space="preserve">Introduction </w:t>
      </w:r>
    </w:p>
    <w:p w14:paraId="100EB719" w14:textId="73C5997D" w:rsidR="00607B25" w:rsidRDefault="00607B25" w:rsidP="00607B25">
      <w:r>
        <w:t xml:space="preserve">Below </w:t>
      </w:r>
      <w:r w:rsidR="00EE7870">
        <w:t>agreements are made in</w:t>
      </w:r>
      <w:r>
        <w:t xml:space="preserve"> RAN2#</w:t>
      </w:r>
      <w:r w:rsidR="00EE7870">
        <w:t>107 to support conditional NR PSCell addition/change in Rel-16 reusing CHO solution as baseline</w:t>
      </w:r>
      <w:r>
        <w:t>.</w:t>
      </w:r>
    </w:p>
    <w:p w14:paraId="4A428515" w14:textId="77777777" w:rsidR="00EE7870" w:rsidRDefault="00EE7870" w:rsidP="00EE7870">
      <w:pPr>
        <w:pStyle w:val="Doc-text2"/>
        <w:pBdr>
          <w:top w:val="single" w:sz="4" w:space="1" w:color="auto"/>
          <w:left w:val="single" w:sz="4" w:space="4" w:color="auto"/>
          <w:bottom w:val="single" w:sz="4" w:space="1" w:color="auto"/>
          <w:right w:val="single" w:sz="4" w:space="4" w:color="auto"/>
        </w:pBdr>
      </w:pPr>
      <w:r>
        <w:t>Agreements</w:t>
      </w:r>
    </w:p>
    <w:p w14:paraId="74F8569C" w14:textId="77777777" w:rsidR="00EE7870" w:rsidRDefault="00EE7870" w:rsidP="00EE7870">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761F92A8" w14:textId="77777777" w:rsidR="00EE7870" w:rsidRDefault="00EE7870" w:rsidP="00EE7870">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5AFA2AA3" w14:textId="7E9E3BA1" w:rsidR="00EE7870" w:rsidRDefault="00EE7870" w:rsidP="00607B25"/>
    <w:p w14:paraId="17629AC8" w14:textId="5CCD10C1" w:rsidR="00EE7870" w:rsidRDefault="00EE7870" w:rsidP="00607B25">
      <w:r>
        <w:t>In addition, the NR Mobility enhancements WID[1] is updated to include the below:</w:t>
      </w:r>
    </w:p>
    <w:p w14:paraId="6D9D7AEA" w14:textId="77777777" w:rsidR="00EE7870" w:rsidRDefault="00EE7870" w:rsidP="00EE7870">
      <w:pPr>
        <w:pStyle w:val="B1"/>
        <w:numPr>
          <w:ilvl w:val="0"/>
          <w:numId w:val="3"/>
        </w:numPr>
        <w:rPr>
          <w:lang w:val="en-US" w:eastAsia="ja-JP"/>
        </w:rPr>
      </w:pPr>
      <w:r w:rsidRPr="00EE7870">
        <w:rPr>
          <w:highlight w:val="yellow"/>
          <w:lang w:val="en-US" w:eastAsia="ja-JP"/>
        </w:rPr>
        <w:t>To specify the</w:t>
      </w:r>
      <w:r w:rsidRPr="00EE7870">
        <w:rPr>
          <w:highlight w:val="yellow"/>
        </w:rPr>
        <w:t xml:space="preserve"> </w:t>
      </w:r>
      <w:r w:rsidRPr="00EE7870">
        <w:rPr>
          <w:highlight w:val="yellow"/>
          <w:lang w:val="en-US" w:eastAsia="ja-JP"/>
        </w:rPr>
        <w:t>following solutions agreed during the study phase</w:t>
      </w:r>
      <w:r>
        <w:rPr>
          <w:lang w:val="en-US" w:eastAsia="ja-JP"/>
        </w:rPr>
        <w:t>. [RAN2/RAN1/RAN3/RAN4]:</w:t>
      </w:r>
    </w:p>
    <w:p w14:paraId="4D8153ED" w14:textId="77777777" w:rsidR="00EE7870" w:rsidRPr="00844B2A" w:rsidRDefault="00EE7870" w:rsidP="00EE7870">
      <w:pPr>
        <w:pStyle w:val="B1"/>
        <w:numPr>
          <w:ilvl w:val="1"/>
          <w:numId w:val="3"/>
        </w:numPr>
        <w:rPr>
          <w:lang w:val="en-US" w:eastAsia="ja-JP"/>
        </w:rPr>
      </w:pPr>
      <w:r w:rsidRPr="00844B2A">
        <w:rPr>
          <w:lang w:val="en-US" w:eastAsia="ja-JP"/>
        </w:rPr>
        <w:t>To reduce interruption time during HO:</w:t>
      </w:r>
    </w:p>
    <w:p w14:paraId="757D7ABE" w14:textId="77777777" w:rsidR="00EE7870" w:rsidRDefault="00EE7870" w:rsidP="00EE7870">
      <w:pPr>
        <w:pStyle w:val="B1"/>
        <w:numPr>
          <w:ilvl w:val="2"/>
          <w:numId w:val="3"/>
        </w:numPr>
        <w:rPr>
          <w:lang w:val="en-US" w:eastAsia="ja-JP"/>
        </w:rPr>
      </w:pPr>
      <w:r w:rsidRPr="00844B2A">
        <w:rPr>
          <w:lang w:val="en-US" w:eastAsia="ja-JP"/>
        </w:rPr>
        <w:t xml:space="preserve">Dual active protocol stack based HO interruption time reduction solution; </w:t>
      </w:r>
    </w:p>
    <w:p w14:paraId="69DACE72" w14:textId="77777777" w:rsidR="00EE7870" w:rsidRPr="00844B2A" w:rsidRDefault="00EE7870" w:rsidP="00EE7870">
      <w:pPr>
        <w:pStyle w:val="B1"/>
        <w:numPr>
          <w:ilvl w:val="1"/>
          <w:numId w:val="3"/>
        </w:numPr>
        <w:rPr>
          <w:lang w:val="en-US" w:eastAsia="ja-JP"/>
        </w:rPr>
      </w:pPr>
      <w:r w:rsidRPr="00844B2A">
        <w:rPr>
          <w:lang w:val="en-US" w:eastAsia="ja-JP"/>
        </w:rPr>
        <w:t>To improve HO/SCG change reliability and robustness:</w:t>
      </w:r>
    </w:p>
    <w:p w14:paraId="0A2EDC56" w14:textId="77777777" w:rsidR="00EE7870" w:rsidRPr="00844B2A" w:rsidRDefault="00EE7870" w:rsidP="00EE7870">
      <w:pPr>
        <w:pStyle w:val="B1"/>
        <w:numPr>
          <w:ilvl w:val="2"/>
          <w:numId w:val="3"/>
        </w:numPr>
        <w:rPr>
          <w:lang w:val="en-US" w:eastAsia="ja-JP"/>
        </w:rPr>
      </w:pPr>
      <w:r w:rsidRPr="00844B2A">
        <w:rPr>
          <w:lang w:val="en-US" w:eastAsia="ja-JP"/>
        </w:rPr>
        <w:t>Conditional handover for NR PCell change;</w:t>
      </w:r>
    </w:p>
    <w:p w14:paraId="42C77874" w14:textId="77777777" w:rsidR="00EE7870" w:rsidRPr="00EE7870" w:rsidRDefault="00EE7870" w:rsidP="00EE7870">
      <w:pPr>
        <w:pStyle w:val="B1"/>
        <w:numPr>
          <w:ilvl w:val="2"/>
          <w:numId w:val="3"/>
        </w:numPr>
        <w:rPr>
          <w:highlight w:val="yellow"/>
          <w:lang w:val="en-US" w:eastAsia="ja-JP"/>
        </w:rPr>
      </w:pPr>
      <w:r w:rsidRPr="00EE7870">
        <w:rPr>
          <w:highlight w:val="yellow"/>
          <w:lang w:val="en-US" w:eastAsia="ja-JP"/>
        </w:rPr>
        <w:t>Conditional handover based NR PSCell addition/change for any architecture option with NR PSCell;</w:t>
      </w:r>
    </w:p>
    <w:p w14:paraId="7964D03B" w14:textId="77777777" w:rsidR="00EE7870" w:rsidRPr="00844B2A" w:rsidRDefault="00EE7870" w:rsidP="00EE7870">
      <w:pPr>
        <w:pStyle w:val="B1"/>
        <w:numPr>
          <w:ilvl w:val="2"/>
          <w:numId w:val="3"/>
        </w:numPr>
        <w:rPr>
          <w:lang w:val="en-US" w:eastAsia="ja-JP"/>
        </w:rPr>
      </w:pPr>
      <w:r w:rsidRPr="00844B2A">
        <w:rPr>
          <w:lang w:val="en-US" w:eastAsia="ja-JP"/>
        </w:rPr>
        <w:t>T312 based fast failure recovery (similar to LTE)</w:t>
      </w:r>
    </w:p>
    <w:p w14:paraId="617C0375" w14:textId="23F72C77" w:rsidR="00EE7870" w:rsidRDefault="00EE7870" w:rsidP="00607B25">
      <w:r>
        <w:t>Considering these baseline agreements, in this paper, we discuss the MR-DC architecture options where Conditional NR PScell addition/change is relevant and how it should be supported. We also discuss which of the CHO solution agreements can be leveraged for supporting conditional PSCell addition/change.</w:t>
      </w:r>
    </w:p>
    <w:p w14:paraId="43C7A682" w14:textId="25967973" w:rsidR="00C87926" w:rsidRDefault="00607B25" w:rsidP="00C87926">
      <w:pPr>
        <w:pStyle w:val="Heading1"/>
        <w:numPr>
          <w:ilvl w:val="0"/>
          <w:numId w:val="1"/>
        </w:numPr>
        <w:pBdr>
          <w:top w:val="single" w:sz="12" w:space="2" w:color="auto"/>
        </w:pBdr>
      </w:pPr>
      <w:r>
        <w:t>Discussion</w:t>
      </w:r>
    </w:p>
    <w:p w14:paraId="3123D8E9" w14:textId="77777777" w:rsidR="00A85C12" w:rsidRDefault="00A85C12" w:rsidP="00A85C12">
      <w:r>
        <w:t xml:space="preserve">Conditional HO is the HO procedure in which UE selects a target cell for HO from among the configured candidate target cells based on CHO execution criteria. It was discussed and agreed in RAN2#107 that using conditional HO concept to the SN addition/change procedure reduces the delays involved in SN addition/change in case of dual-connectivity procedures. </w:t>
      </w:r>
    </w:p>
    <w:p w14:paraId="430F16AC" w14:textId="729C3BE1" w:rsidR="00A85C12" w:rsidRDefault="00A85C12" w:rsidP="00A85C12">
      <w:pPr>
        <w:pStyle w:val="Heading2"/>
        <w:numPr>
          <w:ilvl w:val="1"/>
          <w:numId w:val="2"/>
        </w:numPr>
        <w:rPr>
          <w:rFonts w:ascii="Arial" w:hAnsi="Arial" w:cs="Arial"/>
          <w:color w:val="auto"/>
          <w:sz w:val="28"/>
          <w:szCs w:val="28"/>
        </w:rPr>
      </w:pPr>
      <w:r>
        <w:rPr>
          <w:rFonts w:ascii="Arial" w:hAnsi="Arial" w:cs="Arial"/>
          <w:color w:val="auto"/>
          <w:sz w:val="28"/>
          <w:szCs w:val="28"/>
        </w:rPr>
        <w:t>Supported MR-DC architecture</w:t>
      </w:r>
      <w:r w:rsidR="005710FA">
        <w:rPr>
          <w:rFonts w:ascii="Arial" w:hAnsi="Arial" w:cs="Arial"/>
          <w:color w:val="auto"/>
          <w:sz w:val="28"/>
          <w:szCs w:val="28"/>
        </w:rPr>
        <w:t xml:space="preserve"> options</w:t>
      </w:r>
    </w:p>
    <w:p w14:paraId="3B0BEA2F" w14:textId="1CC8A1F4" w:rsidR="00A85C12" w:rsidRDefault="00A85C12" w:rsidP="00A85C12">
      <w:r>
        <w:t>NR Rel-15 has defined the below Multi-Radio Dual Connectivity (MR-DC) architectures in TS37.340:</w:t>
      </w:r>
    </w:p>
    <w:p w14:paraId="71987D30" w14:textId="77777777" w:rsidR="005710FA" w:rsidRDefault="00A85C12" w:rsidP="00A85C12">
      <w:pPr>
        <w:pStyle w:val="ListParagraph"/>
        <w:numPr>
          <w:ilvl w:val="0"/>
          <w:numId w:val="4"/>
        </w:numPr>
      </w:pPr>
      <w:r>
        <w:t xml:space="preserve">MR-DC with the EPC </w:t>
      </w:r>
    </w:p>
    <w:p w14:paraId="1FAF9B1A" w14:textId="5CE28734" w:rsidR="00A85C12" w:rsidRDefault="00A85C12" w:rsidP="005710FA">
      <w:pPr>
        <w:pStyle w:val="ListParagraph"/>
        <w:numPr>
          <w:ilvl w:val="1"/>
          <w:numId w:val="4"/>
        </w:numPr>
      </w:pPr>
      <w:r>
        <w:t>E-UTRA-NR Dual Connectivity (EN-DC)</w:t>
      </w:r>
      <w:r w:rsidR="005710FA">
        <w:t>: eNB acts as a MN ; gNB acts as a SN</w:t>
      </w:r>
    </w:p>
    <w:p w14:paraId="65540AE4" w14:textId="1253CF5E" w:rsidR="00A85C12" w:rsidRDefault="00A85C12" w:rsidP="00A85C12">
      <w:pPr>
        <w:pStyle w:val="ListParagraph"/>
        <w:numPr>
          <w:ilvl w:val="0"/>
          <w:numId w:val="4"/>
        </w:numPr>
      </w:pPr>
      <w:r>
        <w:t xml:space="preserve">MR-DC with </w:t>
      </w:r>
      <w:r w:rsidR="005710FA">
        <w:t xml:space="preserve">the </w:t>
      </w:r>
      <w:r>
        <w:t xml:space="preserve">5GC </w:t>
      </w:r>
    </w:p>
    <w:p w14:paraId="1614A222" w14:textId="50D2E44A" w:rsidR="00A85C12" w:rsidRDefault="005710FA" w:rsidP="00A85C12">
      <w:pPr>
        <w:pStyle w:val="ListParagraph"/>
        <w:numPr>
          <w:ilvl w:val="1"/>
          <w:numId w:val="4"/>
        </w:numPr>
      </w:pPr>
      <w:r>
        <w:t>NG-RAN E-UTRA-NR Dual Connectivity (NGEN-DC): ng-eNB acts as a MN; gNB acts as a SN</w:t>
      </w:r>
    </w:p>
    <w:p w14:paraId="215F22EC" w14:textId="288DC90C" w:rsidR="005710FA" w:rsidRDefault="005710FA" w:rsidP="00A85C12">
      <w:pPr>
        <w:pStyle w:val="ListParagraph"/>
        <w:numPr>
          <w:ilvl w:val="1"/>
          <w:numId w:val="4"/>
        </w:numPr>
      </w:pPr>
      <w:r>
        <w:lastRenderedPageBreak/>
        <w:t>NR-E-UTRA Dual Connectivity (NE-DC):  gNB acts as a MN; ng-eNB that acts as a SN</w:t>
      </w:r>
    </w:p>
    <w:p w14:paraId="62669ACA" w14:textId="4E6621FF" w:rsidR="005710FA" w:rsidRDefault="005710FA" w:rsidP="00A85C12">
      <w:pPr>
        <w:pStyle w:val="ListParagraph"/>
        <w:numPr>
          <w:ilvl w:val="1"/>
          <w:numId w:val="4"/>
        </w:numPr>
      </w:pPr>
      <w:r>
        <w:t>NR-</w:t>
      </w:r>
      <w:r>
        <w:rPr>
          <w:lang w:eastAsia="zh-CN"/>
        </w:rPr>
        <w:t>NR</w:t>
      </w:r>
      <w:r>
        <w:t xml:space="preserve"> Dual Connectivity (N</w:t>
      </w:r>
      <w:r>
        <w:rPr>
          <w:lang w:eastAsia="zh-CN"/>
        </w:rPr>
        <w:t>R</w:t>
      </w:r>
      <w:r>
        <w:t>-DC)</w:t>
      </w:r>
      <w:r>
        <w:rPr>
          <w:lang w:eastAsia="zh-CN"/>
        </w:rPr>
        <w:t>: gNB acts as a MN; gNB acts as a SN</w:t>
      </w:r>
    </w:p>
    <w:p w14:paraId="3F331292" w14:textId="4413592A" w:rsidR="005710FA" w:rsidRDefault="005710FA" w:rsidP="005710FA">
      <w:r>
        <w:t>As the RAN2#107 agreements are to consider conditional PSCell change only for the case where NR node is the PSCell, not all of the MR-DC architecture are suitable for conditional HO changes. Only MR-DC Arch. Options 1a, 2a, 2c above have NR gNB as the PSCell and thus should be considered for Conditional PSCell addition/change enhancement.</w:t>
      </w:r>
    </w:p>
    <w:p w14:paraId="182783CB" w14:textId="676B534D" w:rsidR="005710FA" w:rsidRPr="00E71BD3" w:rsidRDefault="005710FA" w:rsidP="00E71BD3">
      <w:pPr>
        <w:spacing w:before="120"/>
        <w:rPr>
          <w:b/>
        </w:rPr>
      </w:pPr>
      <w:bookmarkStart w:id="2" w:name="_Ref20412207"/>
      <w:r w:rsidRPr="005710FA">
        <w:rPr>
          <w:b/>
        </w:rPr>
        <w:t xml:space="preserve">Proposal </w:t>
      </w:r>
      <w:r w:rsidRPr="005710FA">
        <w:rPr>
          <w:b/>
        </w:rPr>
        <w:fldChar w:fldCharType="begin"/>
      </w:r>
      <w:r w:rsidRPr="005710FA">
        <w:rPr>
          <w:b/>
        </w:rPr>
        <w:instrText xml:space="preserve"> SEQ Proposal \* ARABIC </w:instrText>
      </w:r>
      <w:r w:rsidRPr="005710FA">
        <w:rPr>
          <w:b/>
        </w:rPr>
        <w:fldChar w:fldCharType="separate"/>
      </w:r>
      <w:r w:rsidR="00B03E07">
        <w:rPr>
          <w:b/>
          <w:noProof/>
        </w:rPr>
        <w:t>1</w:t>
      </w:r>
      <w:r w:rsidRPr="005710FA">
        <w:rPr>
          <w:b/>
        </w:rPr>
        <w:fldChar w:fldCharType="end"/>
      </w:r>
      <w:r w:rsidRPr="005710FA">
        <w:rPr>
          <w:b/>
        </w:rPr>
        <w:t xml:space="preserve">. </w:t>
      </w:r>
      <w:r>
        <w:rPr>
          <w:b/>
        </w:rPr>
        <w:t xml:space="preserve">Support </w:t>
      </w:r>
      <w:r w:rsidRPr="005710FA">
        <w:rPr>
          <w:b/>
        </w:rPr>
        <w:t xml:space="preserve">Conditional PSCell addition/change </w:t>
      </w:r>
      <w:r w:rsidR="00A665A7">
        <w:rPr>
          <w:b/>
        </w:rPr>
        <w:t>for</w:t>
      </w:r>
      <w:r w:rsidRPr="005710FA">
        <w:rPr>
          <w:b/>
        </w:rPr>
        <w:t xml:space="preserve"> MR-DC architecture options of EN-DC, NGEN-DC and NR-DC</w:t>
      </w:r>
      <w:r>
        <w:rPr>
          <w:b/>
        </w:rPr>
        <w:t>, where gNB is the SN.</w:t>
      </w:r>
      <w:bookmarkEnd w:id="2"/>
    </w:p>
    <w:p w14:paraId="19258525" w14:textId="0C84F4C3" w:rsidR="00E71BD3" w:rsidRDefault="00E71BD3" w:rsidP="00E71BD3">
      <w:pPr>
        <w:pStyle w:val="Heading2"/>
        <w:numPr>
          <w:ilvl w:val="1"/>
          <w:numId w:val="2"/>
        </w:numPr>
        <w:rPr>
          <w:rFonts w:ascii="Arial" w:hAnsi="Arial" w:cs="Arial"/>
          <w:color w:val="auto"/>
          <w:sz w:val="28"/>
          <w:szCs w:val="28"/>
        </w:rPr>
      </w:pPr>
      <w:r>
        <w:rPr>
          <w:rFonts w:ascii="Arial" w:hAnsi="Arial" w:cs="Arial"/>
          <w:color w:val="auto"/>
          <w:sz w:val="28"/>
          <w:szCs w:val="28"/>
        </w:rPr>
        <w:t xml:space="preserve">Conditional </w:t>
      </w:r>
      <w:r w:rsidR="00E94F4E">
        <w:rPr>
          <w:rFonts w:ascii="Arial" w:hAnsi="Arial" w:cs="Arial"/>
          <w:color w:val="auto"/>
          <w:sz w:val="28"/>
          <w:szCs w:val="28"/>
        </w:rPr>
        <w:t xml:space="preserve">NR </w:t>
      </w:r>
      <w:r>
        <w:rPr>
          <w:rFonts w:ascii="Arial" w:hAnsi="Arial" w:cs="Arial"/>
          <w:color w:val="auto"/>
          <w:sz w:val="28"/>
          <w:szCs w:val="28"/>
        </w:rPr>
        <w:t>PSCell addition</w:t>
      </w:r>
      <w:r w:rsidR="005D7F39">
        <w:rPr>
          <w:rFonts w:ascii="Arial" w:hAnsi="Arial" w:cs="Arial"/>
          <w:color w:val="auto"/>
          <w:sz w:val="28"/>
          <w:szCs w:val="28"/>
        </w:rPr>
        <w:t xml:space="preserve">/change </w:t>
      </w:r>
      <w:r>
        <w:rPr>
          <w:rFonts w:ascii="Arial" w:hAnsi="Arial" w:cs="Arial"/>
          <w:color w:val="auto"/>
          <w:sz w:val="28"/>
          <w:szCs w:val="28"/>
        </w:rPr>
        <w:t>procedures</w:t>
      </w:r>
    </w:p>
    <w:p w14:paraId="6EDE4478" w14:textId="4E29245E" w:rsidR="00E94F4E" w:rsidRDefault="00E94F4E" w:rsidP="00E94F4E">
      <w:r>
        <w:fldChar w:fldCharType="begin"/>
      </w:r>
      <w:r>
        <w:instrText xml:space="preserve"> REF _Ref876263 \h </w:instrText>
      </w:r>
      <w:r>
        <w:fldChar w:fldCharType="separate"/>
      </w:r>
      <w:r>
        <w:t xml:space="preserve">Figure </w:t>
      </w:r>
      <w:r>
        <w:rPr>
          <w:noProof/>
        </w:rPr>
        <w:t>1</w:t>
      </w:r>
      <w:r>
        <w:fldChar w:fldCharType="end"/>
      </w:r>
      <w:r>
        <w:t xml:space="preserve"> below shows the signaling procedures to support conditional NR PSCell addition</w:t>
      </w:r>
      <w:r w:rsidR="005D7F39">
        <w:t>/change</w:t>
      </w:r>
      <w:r>
        <w:t xml:space="preserve"> procedures. </w:t>
      </w:r>
    </w:p>
    <w:p w14:paraId="1B650F3B" w14:textId="75F2470C" w:rsidR="005D7F39" w:rsidRDefault="009A5C66" w:rsidP="00E94F4E">
      <w:r>
        <w:object w:dxaOrig="10426" w:dyaOrig="12541" w14:anchorId="1B04D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pt;height:627pt" o:ole="">
            <v:imagedata r:id="rId8" o:title=""/>
          </v:shape>
          <o:OLEObject Type="Embed" ProgID="Visio.Drawing.15" ShapeID="_x0000_i1025" DrawAspect="Content" ObjectID="_1631724953" r:id="rId9"/>
        </w:object>
      </w:r>
    </w:p>
    <w:p w14:paraId="5F608A1A" w14:textId="381B4312" w:rsidR="00E94F4E" w:rsidRDefault="005D7F39" w:rsidP="005D7F39">
      <w:pPr>
        <w:pStyle w:val="Caption"/>
      </w:pPr>
      <w:bookmarkStart w:id="3" w:name="_Ref20830928"/>
      <w:bookmarkStart w:id="4" w:name="_Ref20407110"/>
      <w:r>
        <w:t xml:space="preserve">Figure </w:t>
      </w:r>
      <w:r>
        <w:fldChar w:fldCharType="begin"/>
      </w:r>
      <w:r>
        <w:instrText xml:space="preserve"> SEQ Figure \* ARABIC </w:instrText>
      </w:r>
      <w:r>
        <w:fldChar w:fldCharType="separate"/>
      </w:r>
      <w:r>
        <w:rPr>
          <w:noProof/>
        </w:rPr>
        <w:t>1</w:t>
      </w:r>
      <w:r>
        <w:fldChar w:fldCharType="end"/>
      </w:r>
      <w:bookmarkEnd w:id="3"/>
      <w:r>
        <w:t>. Conditional NR PSCell addition/change procedure</w:t>
      </w:r>
      <w:bookmarkEnd w:id="4"/>
    </w:p>
    <w:p w14:paraId="08E8DD16" w14:textId="5A66ED5C" w:rsidR="005D7F39" w:rsidRDefault="005D7F39" w:rsidP="005D7F39">
      <w:r>
        <w:t xml:space="preserve">Above figure shows the procedures corresponding to EN-DC, NGEN-DC and NR-DC. LTE network nodes S-GW/MME are only relevant for EN-DC case. Also, the X2 signaling of SgNB Addition Request/SgNB Addition Request Acknowledge/SgNB Reconfiguration Complete, RRC signaling message RRC Conn. Reconfiguration/RRC Conn. Reconfiguration complete are shown to support the EN-DC Conditional NR PScell addition/change handling. </w:t>
      </w:r>
      <w:r>
        <w:lastRenderedPageBreak/>
        <w:t>The remaining messages are relevant for both NGEN-DC and NR-DC</w:t>
      </w:r>
      <w:r w:rsidR="00980BD0">
        <w:t xml:space="preserve"> procedures</w:t>
      </w:r>
      <w:r>
        <w:t xml:space="preserve">. Below are the key aspects on the procedures shown in the above figure. </w:t>
      </w:r>
    </w:p>
    <w:p w14:paraId="23CCBAC4" w14:textId="04B68230" w:rsidR="005D7F39" w:rsidRDefault="00BB5F26" w:rsidP="00BB5F26">
      <w:pPr>
        <w:pStyle w:val="Heading2"/>
        <w:numPr>
          <w:ilvl w:val="2"/>
          <w:numId w:val="2"/>
        </w:numPr>
        <w:rPr>
          <w:rFonts w:ascii="Arial" w:hAnsi="Arial" w:cs="Arial"/>
          <w:color w:val="auto"/>
          <w:sz w:val="28"/>
          <w:szCs w:val="28"/>
        </w:rPr>
      </w:pPr>
      <w:r>
        <w:rPr>
          <w:rFonts w:ascii="Arial" w:hAnsi="Arial" w:cs="Arial"/>
          <w:color w:val="auto"/>
          <w:sz w:val="28"/>
          <w:szCs w:val="28"/>
        </w:rPr>
        <w:t>RRC message</w:t>
      </w:r>
      <w:r w:rsidR="005D7F39">
        <w:rPr>
          <w:rFonts w:ascii="Arial" w:hAnsi="Arial" w:cs="Arial"/>
          <w:color w:val="auto"/>
          <w:sz w:val="28"/>
          <w:szCs w:val="28"/>
        </w:rPr>
        <w:t xml:space="preserve"> generation</w:t>
      </w:r>
      <w:r w:rsidR="005D7F39">
        <w:rPr>
          <w:rFonts w:ascii="Arial" w:hAnsi="Arial" w:cs="Arial"/>
          <w:color w:val="auto"/>
          <w:sz w:val="28"/>
          <w:szCs w:val="28"/>
        </w:rPr>
        <w:tab/>
      </w:r>
    </w:p>
    <w:p w14:paraId="335B792B" w14:textId="3F5C6877" w:rsidR="005D7F39" w:rsidRDefault="005D7F39" w:rsidP="00BB5F26">
      <w:pPr>
        <w:rPr>
          <w:b/>
          <w:i/>
        </w:rPr>
      </w:pPr>
      <w:r>
        <w:t>MN decides which PSCells to be configured as the candidate PSCells and performs SN Addition procedure with the candidate SNs (Step 2-3). The candidate PSCells may be under the same CU as MN or different CUs.</w:t>
      </w:r>
      <w:r w:rsidR="0014697D">
        <w:t xml:space="preserve"> Similar to CHO</w:t>
      </w:r>
      <w:r>
        <w:t xml:space="preserve">, it </w:t>
      </w:r>
      <w:r w:rsidRPr="000D21D1">
        <w:t xml:space="preserve">would be </w:t>
      </w:r>
      <w:r w:rsidR="0014697D">
        <w:t xml:space="preserve">simple if MN </w:t>
      </w:r>
      <w:r w:rsidRPr="000D21D1">
        <w:t xml:space="preserve">configure </w:t>
      </w:r>
      <w:r w:rsidR="00AF1CBE">
        <w:t>multiple</w:t>
      </w:r>
      <w:r w:rsidRPr="000D21D1">
        <w:t xml:space="preserve"> </w:t>
      </w:r>
      <w:r w:rsidR="0014697D">
        <w:t>candidate PSC</w:t>
      </w:r>
      <w:r w:rsidRPr="000D21D1">
        <w:t xml:space="preserve">ells </w:t>
      </w:r>
      <w:r w:rsidR="0014697D">
        <w:t xml:space="preserve">configuration </w:t>
      </w:r>
      <w:r w:rsidRPr="000D21D1">
        <w:t>in one messag</w:t>
      </w:r>
      <w:r w:rsidR="0014697D">
        <w:t>e and include the trigger criteria for SN addition/chang</w:t>
      </w:r>
      <w:bookmarkStart w:id="5" w:name="_Ref16511975"/>
      <w:r w:rsidR="00BB5F26">
        <w:t xml:space="preserve">e including </w:t>
      </w:r>
      <w:r w:rsidR="00BB5F26" w:rsidRPr="00BB5F26">
        <w:t>the</w:t>
      </w:r>
      <w:r w:rsidR="0014697D" w:rsidRPr="00BB5F26">
        <w:t xml:space="preserve"> below configuration details in the RRC Reconfiguration message sent to the UE to configure the conditional NR PSCells</w:t>
      </w:r>
      <w:bookmarkStart w:id="6" w:name="_Ref16511980"/>
      <w:bookmarkEnd w:id="5"/>
      <w:r w:rsidRPr="00BB5F26">
        <w:t>:</w:t>
      </w:r>
      <w:bookmarkEnd w:id="6"/>
    </w:p>
    <w:p w14:paraId="57443884" w14:textId="77777777" w:rsidR="005D7F39" w:rsidRPr="00BB5F26" w:rsidRDefault="005D7F39" w:rsidP="00BB5F26">
      <w:pPr>
        <w:pStyle w:val="ListParagraph"/>
        <w:numPr>
          <w:ilvl w:val="0"/>
          <w:numId w:val="12"/>
        </w:numPr>
        <w:spacing w:after="0"/>
        <w:contextualSpacing w:val="0"/>
      </w:pPr>
      <w:r w:rsidRPr="00BB5F26">
        <w:t>Source cell RRC configuration changes (if any)</w:t>
      </w:r>
    </w:p>
    <w:p w14:paraId="6F390E3F" w14:textId="38B401F4" w:rsidR="005D7F39" w:rsidRPr="00BB5F26" w:rsidRDefault="00BB5F26" w:rsidP="00BB5F26">
      <w:pPr>
        <w:pStyle w:val="ListParagraph"/>
        <w:numPr>
          <w:ilvl w:val="0"/>
          <w:numId w:val="12"/>
        </w:numPr>
        <w:spacing w:after="0"/>
        <w:contextualSpacing w:val="0"/>
      </w:pPr>
      <w:r w:rsidRPr="00BB5F26">
        <w:t xml:space="preserve">Conditional </w:t>
      </w:r>
      <w:r w:rsidR="0014697D" w:rsidRPr="00BB5F26">
        <w:t>SN addition/change execution</w:t>
      </w:r>
      <w:r w:rsidR="005D7F39" w:rsidRPr="00BB5F26">
        <w:t xml:space="preserve"> criteria configuration for each candidate </w:t>
      </w:r>
      <w:r w:rsidR="0014697D" w:rsidRPr="00BB5F26">
        <w:t>PSC</w:t>
      </w:r>
      <w:r w:rsidR="005D7F39" w:rsidRPr="00BB5F26">
        <w:t>ell (configured by source cell)</w:t>
      </w:r>
    </w:p>
    <w:p w14:paraId="7AE46F1C" w14:textId="21E74FE2" w:rsidR="005D7F39" w:rsidRDefault="005D7F39" w:rsidP="00BB5F26">
      <w:pPr>
        <w:pStyle w:val="ListParagraph"/>
        <w:numPr>
          <w:ilvl w:val="0"/>
          <w:numId w:val="12"/>
        </w:numPr>
        <w:spacing w:after="0"/>
        <w:contextualSpacing w:val="0"/>
      </w:pPr>
      <w:r w:rsidRPr="00BB5F26">
        <w:t xml:space="preserve">RRC Reconfiguration for each candidate </w:t>
      </w:r>
      <w:r w:rsidR="0014697D" w:rsidRPr="00BB5F26">
        <w:t>PSC</w:t>
      </w:r>
      <w:r w:rsidRPr="00BB5F26">
        <w:t xml:space="preserve">ell (transparent container included by respective </w:t>
      </w:r>
      <w:r w:rsidR="0014697D" w:rsidRPr="00BB5F26">
        <w:t>PSC</w:t>
      </w:r>
      <w:r w:rsidRPr="00BB5F26">
        <w:t>ell)</w:t>
      </w:r>
    </w:p>
    <w:p w14:paraId="2887787D" w14:textId="77777777" w:rsidR="005D7F39" w:rsidRPr="00272102" w:rsidRDefault="005D7F39" w:rsidP="005D7F39">
      <w:pPr>
        <w:pStyle w:val="ListParagraph"/>
        <w:rPr>
          <w:b/>
          <w:iCs/>
        </w:rPr>
      </w:pPr>
    </w:p>
    <w:p w14:paraId="5C23EA2B" w14:textId="6705F07B" w:rsidR="005D7F39" w:rsidRPr="00E00F9C" w:rsidRDefault="00AF1CBE" w:rsidP="00832154">
      <w:pPr>
        <w:pStyle w:val="Heading2"/>
        <w:numPr>
          <w:ilvl w:val="2"/>
          <w:numId w:val="2"/>
        </w:numPr>
        <w:rPr>
          <w:rFonts w:ascii="Arial" w:hAnsi="Arial" w:cs="Arial"/>
          <w:color w:val="auto"/>
          <w:sz w:val="28"/>
          <w:szCs w:val="28"/>
        </w:rPr>
      </w:pPr>
      <w:r>
        <w:rPr>
          <w:rFonts w:ascii="Arial" w:hAnsi="Arial" w:cs="Arial"/>
          <w:color w:val="auto"/>
          <w:sz w:val="28"/>
          <w:szCs w:val="28"/>
        </w:rPr>
        <w:t>Conditional PSCell configuration maintenance</w:t>
      </w:r>
    </w:p>
    <w:p w14:paraId="4D134778" w14:textId="77777777" w:rsidR="009E02B1" w:rsidRDefault="005D7F39" w:rsidP="009E02B1">
      <w:pPr>
        <w:spacing w:before="120"/>
      </w:pPr>
      <w:r>
        <w:t>As the</w:t>
      </w:r>
      <w:r w:rsidR="00AF1CBE">
        <w:t xml:space="preserve"> UE continues operating with MN during an MR-DC procedure, we do not see a need for the UE to release the conditional PSCell configuration on performing a Conditional SN addition/change. UE has to reconfigure/release conditional PSCell configuration based on the indication from the MN, unless UE loses the MN and is performing RRC Re-establishment. </w:t>
      </w:r>
    </w:p>
    <w:p w14:paraId="323AE2BB" w14:textId="6B02D2C8" w:rsidR="00572F3C" w:rsidRDefault="00572F3C" w:rsidP="00572F3C">
      <w:pPr>
        <w:spacing w:before="120"/>
        <w:rPr>
          <w:b/>
        </w:rPr>
      </w:pPr>
      <w:bookmarkStart w:id="7" w:name="_Ref20412201"/>
      <w:r w:rsidRPr="00572F3C">
        <w:rPr>
          <w:b/>
        </w:rPr>
        <w:t xml:space="preserve">Observation </w:t>
      </w:r>
      <w:r w:rsidRPr="00572F3C">
        <w:rPr>
          <w:b/>
        </w:rPr>
        <w:fldChar w:fldCharType="begin"/>
      </w:r>
      <w:r w:rsidRPr="00572F3C">
        <w:rPr>
          <w:b/>
        </w:rPr>
        <w:instrText xml:space="preserve"> SEQ Observation \* ARABIC </w:instrText>
      </w:r>
      <w:r w:rsidRPr="00572F3C">
        <w:rPr>
          <w:b/>
        </w:rPr>
        <w:fldChar w:fldCharType="separate"/>
      </w:r>
      <w:r w:rsidR="00AF06B6">
        <w:rPr>
          <w:b/>
          <w:noProof/>
        </w:rPr>
        <w:t>2</w:t>
      </w:r>
      <w:r w:rsidRPr="00572F3C">
        <w:rPr>
          <w:b/>
        </w:rPr>
        <w:fldChar w:fldCharType="end"/>
      </w:r>
      <w:r w:rsidRPr="00572F3C">
        <w:rPr>
          <w:b/>
        </w:rPr>
        <w:t xml:space="preserve">. In MR-DC SN addition/change procedures, MN connection is </w:t>
      </w:r>
      <w:r>
        <w:rPr>
          <w:b/>
        </w:rPr>
        <w:t>maintained</w:t>
      </w:r>
      <w:r w:rsidRPr="00572F3C">
        <w:rPr>
          <w:b/>
        </w:rPr>
        <w:t xml:space="preserve"> and MN controls the configuration of the SN addition/change.</w:t>
      </w:r>
      <w:bookmarkEnd w:id="7"/>
    </w:p>
    <w:p w14:paraId="7539B78F" w14:textId="0CA9F8B6" w:rsidR="00314599" w:rsidRDefault="003B12C9" w:rsidP="003B12C9">
      <w:pPr>
        <w:pStyle w:val="Heading2"/>
        <w:numPr>
          <w:ilvl w:val="2"/>
          <w:numId w:val="2"/>
        </w:numPr>
        <w:rPr>
          <w:rFonts w:ascii="Arial" w:hAnsi="Arial" w:cs="Arial"/>
          <w:color w:val="auto"/>
          <w:sz w:val="28"/>
          <w:szCs w:val="28"/>
        </w:rPr>
      </w:pPr>
      <w:r w:rsidRPr="003B12C9">
        <w:rPr>
          <w:rFonts w:ascii="Arial" w:hAnsi="Arial" w:cs="Arial"/>
          <w:color w:val="auto"/>
          <w:sz w:val="28"/>
          <w:szCs w:val="28"/>
        </w:rPr>
        <w:t>Xn</w:t>
      </w:r>
      <w:r>
        <w:rPr>
          <w:rFonts w:ascii="Arial" w:hAnsi="Arial" w:cs="Arial"/>
          <w:color w:val="auto"/>
          <w:sz w:val="28"/>
          <w:szCs w:val="28"/>
        </w:rPr>
        <w:t>/X2</w:t>
      </w:r>
      <w:r w:rsidRPr="003B12C9">
        <w:rPr>
          <w:rFonts w:ascii="Arial" w:hAnsi="Arial" w:cs="Arial"/>
          <w:color w:val="auto"/>
          <w:sz w:val="28"/>
          <w:szCs w:val="28"/>
        </w:rPr>
        <w:t xml:space="preserve"> signaling impacts</w:t>
      </w:r>
    </w:p>
    <w:p w14:paraId="72617480" w14:textId="022972BA" w:rsidR="003B12C9" w:rsidRDefault="0050422E" w:rsidP="003B12C9">
      <w:r>
        <w:t xml:space="preserve">The concept of conditional SN change/addition is similar to CHO. </w:t>
      </w:r>
      <w:r w:rsidR="00613292">
        <w:t xml:space="preserve">Below table compares conditional SN addition/change with CHO. </w:t>
      </w:r>
    </w:p>
    <w:tbl>
      <w:tblPr>
        <w:tblStyle w:val="GridTable4-Accent5"/>
        <w:tblW w:w="9445" w:type="dxa"/>
        <w:tblLook w:val="04A0" w:firstRow="1" w:lastRow="0" w:firstColumn="1" w:lastColumn="0" w:noHBand="0" w:noVBand="1"/>
      </w:tblPr>
      <w:tblGrid>
        <w:gridCol w:w="2785"/>
        <w:gridCol w:w="2880"/>
        <w:gridCol w:w="3780"/>
      </w:tblGrid>
      <w:tr w:rsidR="0050422E" w14:paraId="43BE7BA2" w14:textId="77777777" w:rsidTr="005042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5" w:type="dxa"/>
          </w:tcPr>
          <w:p w14:paraId="6A50E5C1" w14:textId="6E0C561A" w:rsidR="0050422E" w:rsidRPr="00FF128A" w:rsidRDefault="0050422E" w:rsidP="00DE2DD0">
            <w:pPr>
              <w:pStyle w:val="Doc-text2"/>
              <w:ind w:left="0" w:firstLine="0"/>
              <w:rPr>
                <w:lang w:val="en-US"/>
              </w:rPr>
            </w:pPr>
            <w:r>
              <w:rPr>
                <w:lang w:val="en-US"/>
              </w:rPr>
              <w:t>CHO</w:t>
            </w:r>
          </w:p>
        </w:tc>
        <w:tc>
          <w:tcPr>
            <w:tcW w:w="2880" w:type="dxa"/>
          </w:tcPr>
          <w:p w14:paraId="3C8B07F6" w14:textId="5F1C30F8" w:rsidR="0050422E" w:rsidRPr="00FF128A" w:rsidRDefault="0050422E" w:rsidP="00DE2DD0">
            <w:pPr>
              <w:pStyle w:val="Doc-text2"/>
              <w:ind w:left="0"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Conditional SN Addition/Change</w:t>
            </w:r>
          </w:p>
        </w:tc>
        <w:tc>
          <w:tcPr>
            <w:tcW w:w="3780" w:type="dxa"/>
          </w:tcPr>
          <w:p w14:paraId="3CBD42F5" w14:textId="188EE581" w:rsidR="0050422E" w:rsidRPr="0050422E" w:rsidRDefault="0050422E" w:rsidP="00DE2DD0">
            <w:pPr>
              <w:pStyle w:val="Doc-text2"/>
              <w:ind w:left="0"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Proposal for Conditional SN Addition/Change</w:t>
            </w:r>
          </w:p>
        </w:tc>
      </w:tr>
      <w:tr w:rsidR="0050422E" w14:paraId="2CFEE4E6" w14:textId="77777777" w:rsidTr="005042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5" w:type="dxa"/>
          </w:tcPr>
          <w:p w14:paraId="104310AB" w14:textId="45D1BF9E" w:rsidR="0050422E" w:rsidRPr="0050422E" w:rsidRDefault="0050422E" w:rsidP="0050422E">
            <w:pPr>
              <w:pStyle w:val="Doc-text2"/>
              <w:ind w:left="0" w:firstLine="0"/>
              <w:rPr>
                <w:lang w:val="en-US"/>
              </w:rPr>
            </w:pPr>
            <w:r>
              <w:rPr>
                <w:lang w:val="en-US"/>
              </w:rPr>
              <w:t>Handover Request: add CHO indicator</w:t>
            </w:r>
          </w:p>
        </w:tc>
        <w:tc>
          <w:tcPr>
            <w:tcW w:w="2880" w:type="dxa"/>
          </w:tcPr>
          <w:p w14:paraId="77E318CE" w14:textId="79C0BBE8" w:rsidR="0050422E" w:rsidRPr="0050422E" w:rsidRDefault="0050422E" w:rsidP="00DE2DD0">
            <w:pPr>
              <w:pStyle w:val="Doc-text2"/>
              <w:ind w:left="0" w:firstLine="0"/>
              <w:cnfStyle w:val="000000100000" w:firstRow="0" w:lastRow="0" w:firstColumn="0" w:lastColumn="0" w:oddVBand="0" w:evenVBand="0" w:oddHBand="1" w:evenHBand="0" w:firstRowFirstColumn="0" w:firstRowLastColumn="0" w:lastRowFirstColumn="0" w:lastRowLastColumn="0"/>
              <w:rPr>
                <w:lang w:val="en-US"/>
              </w:rPr>
            </w:pPr>
            <w:r>
              <w:rPr>
                <w:lang w:val="en-US"/>
              </w:rPr>
              <w:t>SN Addition Request</w:t>
            </w:r>
          </w:p>
        </w:tc>
        <w:tc>
          <w:tcPr>
            <w:tcW w:w="3780" w:type="dxa"/>
          </w:tcPr>
          <w:p w14:paraId="5E3B88E0" w14:textId="5BA6C89B" w:rsidR="0050422E" w:rsidRPr="0050422E" w:rsidRDefault="0050422E" w:rsidP="00DE2DD0">
            <w:pPr>
              <w:pStyle w:val="Doc-text2"/>
              <w:ind w:left="0" w:firstLine="0"/>
              <w:cnfStyle w:val="000000100000" w:firstRow="0" w:lastRow="0" w:firstColumn="0" w:lastColumn="0" w:oddVBand="0" w:evenVBand="0" w:oddHBand="1" w:evenHBand="0" w:firstRowFirstColumn="0" w:firstRowLastColumn="0" w:lastRowFirstColumn="0" w:lastRowLastColumn="0"/>
              <w:rPr>
                <w:lang w:val="en-US"/>
              </w:rPr>
            </w:pPr>
            <w:r>
              <w:rPr>
                <w:lang w:val="en-US"/>
              </w:rPr>
              <w:t>Add “Conditional SN addition” indicator to SN Addition Request</w:t>
            </w:r>
          </w:p>
        </w:tc>
      </w:tr>
      <w:tr w:rsidR="0050422E" w14:paraId="6D0990D7" w14:textId="77777777" w:rsidTr="0050422E">
        <w:tc>
          <w:tcPr>
            <w:cnfStyle w:val="001000000000" w:firstRow="0" w:lastRow="0" w:firstColumn="1" w:lastColumn="0" w:oddVBand="0" w:evenVBand="0" w:oddHBand="0" w:evenHBand="0" w:firstRowFirstColumn="0" w:firstRowLastColumn="0" w:lastRowFirstColumn="0" w:lastRowLastColumn="0"/>
            <w:tcW w:w="2785" w:type="dxa"/>
          </w:tcPr>
          <w:p w14:paraId="1DCA9C42" w14:textId="08487044" w:rsidR="0050422E" w:rsidRPr="0050422E" w:rsidRDefault="0050422E" w:rsidP="00DE2DD0">
            <w:pPr>
              <w:pStyle w:val="Doc-text2"/>
              <w:ind w:left="0" w:firstLine="0"/>
              <w:rPr>
                <w:lang w:val="en-US"/>
              </w:rPr>
            </w:pPr>
            <w:r>
              <w:rPr>
                <w:lang w:val="en-US"/>
              </w:rPr>
              <w:t>Handover Cancel</w:t>
            </w:r>
          </w:p>
        </w:tc>
        <w:tc>
          <w:tcPr>
            <w:tcW w:w="2880" w:type="dxa"/>
          </w:tcPr>
          <w:p w14:paraId="00D94388" w14:textId="668C558F" w:rsidR="0050422E" w:rsidRPr="0050422E" w:rsidRDefault="0050422E" w:rsidP="00DE2DD0">
            <w:pPr>
              <w:pStyle w:val="Doc-text2"/>
              <w:ind w:left="0" w:firstLine="0"/>
              <w:cnfStyle w:val="000000000000" w:firstRow="0" w:lastRow="0" w:firstColumn="0" w:lastColumn="0" w:oddVBand="0" w:evenVBand="0" w:oddHBand="0" w:evenHBand="0" w:firstRowFirstColumn="0" w:firstRowLastColumn="0" w:lastRowFirstColumn="0" w:lastRowLastColumn="0"/>
              <w:rPr>
                <w:lang w:val="en-US"/>
              </w:rPr>
            </w:pPr>
            <w:r>
              <w:rPr>
                <w:lang w:val="en-US"/>
              </w:rPr>
              <w:t>SN Release</w:t>
            </w:r>
          </w:p>
        </w:tc>
        <w:tc>
          <w:tcPr>
            <w:tcW w:w="3780" w:type="dxa"/>
          </w:tcPr>
          <w:p w14:paraId="2A006AAF" w14:textId="2B1CF93B" w:rsidR="0050422E" w:rsidRPr="0050422E" w:rsidRDefault="0050422E" w:rsidP="00DE2DD0">
            <w:pPr>
              <w:pStyle w:val="Doc-text2"/>
              <w:ind w:left="0" w:firstLine="0"/>
              <w:cnfStyle w:val="000000000000" w:firstRow="0" w:lastRow="0" w:firstColumn="0" w:lastColumn="0" w:oddVBand="0" w:evenVBand="0" w:oddHBand="0" w:evenHBand="0" w:firstRowFirstColumn="0" w:firstRowLastColumn="0" w:lastRowFirstColumn="0" w:lastRowLastColumn="0"/>
              <w:rPr>
                <w:lang w:val="en-US"/>
              </w:rPr>
            </w:pPr>
            <w:r>
              <w:rPr>
                <w:lang w:val="en-US"/>
              </w:rPr>
              <w:t>Reuse existing SN Release procedure</w:t>
            </w:r>
          </w:p>
        </w:tc>
      </w:tr>
      <w:tr w:rsidR="0050422E" w14:paraId="4F06CA4A" w14:textId="77777777" w:rsidTr="005042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5" w:type="dxa"/>
          </w:tcPr>
          <w:p w14:paraId="4CB22008" w14:textId="4A17A601" w:rsidR="0050422E" w:rsidRPr="0050422E" w:rsidRDefault="0050422E" w:rsidP="00DE2DD0">
            <w:pPr>
              <w:pStyle w:val="Doc-text2"/>
              <w:ind w:left="0" w:firstLine="0"/>
              <w:rPr>
                <w:lang w:val="en-US"/>
              </w:rPr>
            </w:pPr>
            <w:r>
              <w:rPr>
                <w:lang w:val="en-US"/>
              </w:rPr>
              <w:t>Handover Modification</w:t>
            </w:r>
          </w:p>
        </w:tc>
        <w:tc>
          <w:tcPr>
            <w:tcW w:w="2880" w:type="dxa"/>
          </w:tcPr>
          <w:p w14:paraId="6883A853" w14:textId="67831412" w:rsidR="0050422E" w:rsidRPr="0050422E" w:rsidRDefault="0050422E" w:rsidP="00DE2DD0">
            <w:pPr>
              <w:pStyle w:val="Doc-text2"/>
              <w:ind w:left="0" w:firstLine="0"/>
              <w:cnfStyle w:val="000000100000" w:firstRow="0" w:lastRow="0" w:firstColumn="0" w:lastColumn="0" w:oddVBand="0" w:evenVBand="0" w:oddHBand="1" w:evenHBand="0" w:firstRowFirstColumn="0" w:firstRowLastColumn="0" w:lastRowFirstColumn="0" w:lastRowLastColumn="0"/>
              <w:rPr>
                <w:lang w:val="en-US"/>
              </w:rPr>
            </w:pPr>
            <w:r>
              <w:rPr>
                <w:lang w:val="en-US"/>
              </w:rPr>
              <w:t>SN Modification procedure</w:t>
            </w:r>
          </w:p>
        </w:tc>
        <w:tc>
          <w:tcPr>
            <w:tcW w:w="3780" w:type="dxa"/>
          </w:tcPr>
          <w:p w14:paraId="1DDD54B1" w14:textId="40DF264F" w:rsidR="0050422E" w:rsidRPr="0050422E" w:rsidRDefault="0050422E" w:rsidP="00DE2DD0">
            <w:pPr>
              <w:pStyle w:val="Doc-text2"/>
              <w:ind w:left="0" w:firstLine="0"/>
              <w:cnfStyle w:val="000000100000" w:firstRow="0" w:lastRow="0" w:firstColumn="0" w:lastColumn="0" w:oddVBand="0" w:evenVBand="0" w:oddHBand="1" w:evenHBand="0" w:firstRowFirstColumn="0" w:firstRowLastColumn="0" w:lastRowFirstColumn="0" w:lastRowLastColumn="0"/>
              <w:rPr>
                <w:lang w:val="en-US"/>
              </w:rPr>
            </w:pPr>
            <w:r>
              <w:rPr>
                <w:lang w:val="en-US"/>
              </w:rPr>
              <w:t>Reuse existing SN Modification procedure</w:t>
            </w:r>
          </w:p>
        </w:tc>
      </w:tr>
      <w:tr w:rsidR="0050422E" w14:paraId="38EF6F9D" w14:textId="77777777" w:rsidTr="0050422E">
        <w:tc>
          <w:tcPr>
            <w:cnfStyle w:val="001000000000" w:firstRow="0" w:lastRow="0" w:firstColumn="1" w:lastColumn="0" w:oddVBand="0" w:evenVBand="0" w:oddHBand="0" w:evenHBand="0" w:firstRowFirstColumn="0" w:firstRowLastColumn="0" w:lastRowFirstColumn="0" w:lastRowLastColumn="0"/>
            <w:tcW w:w="2785" w:type="dxa"/>
          </w:tcPr>
          <w:p w14:paraId="46A38CDC" w14:textId="7648420E" w:rsidR="0050422E" w:rsidRPr="0050422E" w:rsidRDefault="0050422E" w:rsidP="00DE2DD0">
            <w:pPr>
              <w:pStyle w:val="Doc-text2"/>
              <w:ind w:left="0" w:firstLine="0"/>
              <w:rPr>
                <w:lang w:val="en-US"/>
              </w:rPr>
            </w:pPr>
            <w:r>
              <w:rPr>
                <w:lang w:val="en-US"/>
              </w:rPr>
              <w:t>Handover Success</w:t>
            </w:r>
          </w:p>
        </w:tc>
        <w:tc>
          <w:tcPr>
            <w:tcW w:w="2880" w:type="dxa"/>
          </w:tcPr>
          <w:p w14:paraId="0B5FBA5A" w14:textId="7B7269D3" w:rsidR="0050422E" w:rsidRPr="0050422E" w:rsidRDefault="0050422E" w:rsidP="00DE2DD0">
            <w:pPr>
              <w:pStyle w:val="Doc-text2"/>
              <w:ind w:left="0" w:firstLine="0"/>
              <w:cnfStyle w:val="000000000000" w:firstRow="0" w:lastRow="0" w:firstColumn="0" w:lastColumn="0" w:oddVBand="0" w:evenVBand="0" w:oddHBand="0" w:evenHBand="0" w:firstRowFirstColumn="0" w:firstRowLastColumn="0" w:lastRowFirstColumn="0" w:lastRowLastColumn="0"/>
              <w:rPr>
                <w:lang w:val="en-US"/>
              </w:rPr>
            </w:pPr>
            <w:r>
              <w:rPr>
                <w:lang w:val="en-US"/>
              </w:rPr>
              <w:t>SN Reconfiguration Complete</w:t>
            </w:r>
          </w:p>
        </w:tc>
        <w:tc>
          <w:tcPr>
            <w:tcW w:w="3780" w:type="dxa"/>
          </w:tcPr>
          <w:p w14:paraId="727CCDC8" w14:textId="5D039404" w:rsidR="0050422E" w:rsidRPr="0050422E" w:rsidRDefault="0050422E" w:rsidP="00DE2DD0">
            <w:pPr>
              <w:pStyle w:val="Doc-text2"/>
              <w:ind w:left="0" w:firstLine="0"/>
              <w:cnfStyle w:val="000000000000" w:firstRow="0" w:lastRow="0" w:firstColumn="0" w:lastColumn="0" w:oddVBand="0" w:evenVBand="0" w:oddHBand="0" w:evenHBand="0" w:firstRowFirstColumn="0" w:firstRowLastColumn="0" w:lastRowFirstColumn="0" w:lastRowLastColumn="0"/>
              <w:rPr>
                <w:lang w:val="en-US"/>
              </w:rPr>
            </w:pPr>
            <w:r>
              <w:rPr>
                <w:lang w:val="en-US"/>
              </w:rPr>
              <w:t>Reuse SN Reconfiguration Complete message</w:t>
            </w:r>
          </w:p>
        </w:tc>
      </w:tr>
    </w:tbl>
    <w:p w14:paraId="07E2A967" w14:textId="5C994384" w:rsidR="00E94F4E" w:rsidRDefault="00E94F4E" w:rsidP="00DE2DD0">
      <w:pPr>
        <w:pStyle w:val="Doc-text2"/>
        <w:ind w:left="0" w:firstLine="0"/>
      </w:pPr>
    </w:p>
    <w:p w14:paraId="25D7F3FF" w14:textId="77777777" w:rsidR="00613292" w:rsidRPr="00DE2DD0" w:rsidRDefault="00613292" w:rsidP="00613292">
      <w:pPr>
        <w:rPr>
          <w:b/>
          <w:bCs/>
        </w:rPr>
      </w:pPr>
      <w:r w:rsidRPr="00DE2DD0">
        <w:rPr>
          <w:b/>
          <w:bCs/>
        </w:rPr>
        <w:t>Proposal 2: Add “conditional SN addition” indicator into SN Addition Request.</w:t>
      </w:r>
    </w:p>
    <w:p w14:paraId="7EBFF99D" w14:textId="230A9B23" w:rsidR="00613292" w:rsidRDefault="00613292" w:rsidP="00613292">
      <w:pPr>
        <w:rPr>
          <w:b/>
          <w:bCs/>
        </w:rPr>
      </w:pPr>
      <w:r w:rsidRPr="00613292">
        <w:rPr>
          <w:b/>
          <w:bCs/>
        </w:rPr>
        <w:t xml:space="preserve">Observation 3: Existing SN Release, SN Modification and SN Reconfiguration complete procedure can be used for SN release, SN modification and SN addition/change complete. </w:t>
      </w:r>
    </w:p>
    <w:p w14:paraId="68EE4A42" w14:textId="7C4AB0D7" w:rsidR="00B90151" w:rsidRPr="00B90151" w:rsidRDefault="00B90151" w:rsidP="00B90151">
      <w:pPr>
        <w:pStyle w:val="Heading2"/>
        <w:numPr>
          <w:ilvl w:val="2"/>
          <w:numId w:val="2"/>
        </w:numPr>
        <w:rPr>
          <w:rFonts w:ascii="Arial" w:hAnsi="Arial" w:cs="Arial"/>
          <w:color w:val="auto"/>
          <w:sz w:val="28"/>
          <w:szCs w:val="28"/>
        </w:rPr>
      </w:pPr>
      <w:r w:rsidRPr="00B90151">
        <w:rPr>
          <w:rFonts w:ascii="Arial" w:hAnsi="Arial" w:cs="Arial"/>
          <w:color w:val="auto"/>
          <w:sz w:val="28"/>
          <w:szCs w:val="28"/>
        </w:rPr>
        <w:t>Data Forwarding</w:t>
      </w:r>
    </w:p>
    <w:p w14:paraId="586F1294" w14:textId="0BD940AF" w:rsidR="00B90151" w:rsidRDefault="00B90151" w:rsidP="00613292">
      <w:r w:rsidRPr="00B90151">
        <w:t xml:space="preserve">Late data forwarding </w:t>
      </w:r>
      <w:r w:rsidRPr="00B90151">
        <w:t>(i.e. not done immediately when the candidate PSCells become prepared)</w:t>
      </w:r>
      <w:r>
        <w:t xml:space="preserve"> </w:t>
      </w:r>
      <w:r w:rsidRPr="00B90151">
        <w:t xml:space="preserve">could be suitable for Conditional NR </w:t>
      </w:r>
      <w:r>
        <w:t>SN</w:t>
      </w:r>
      <w:r w:rsidRPr="00B90151">
        <w:t xml:space="preserve"> addition/change when there are multiple candidate PSCells. Early packet forwarding can also be considered.</w:t>
      </w:r>
    </w:p>
    <w:p w14:paraId="2893342B" w14:textId="1208DBB6" w:rsidR="00B90151" w:rsidRPr="00B90151" w:rsidRDefault="00B90151" w:rsidP="00613292">
      <w:pPr>
        <w:rPr>
          <w:b/>
          <w:bCs/>
        </w:rPr>
      </w:pPr>
      <w:r w:rsidRPr="00B90151">
        <w:rPr>
          <w:b/>
          <w:bCs/>
        </w:rPr>
        <w:t>Proposal 3: For conditional SN Addition/Change, late data forwarding is supported as baseline, early data forwarding could be supported up to implementation.</w:t>
      </w:r>
    </w:p>
    <w:p w14:paraId="3BD0625D" w14:textId="77777777" w:rsidR="00607B25" w:rsidRDefault="00607B25" w:rsidP="00607B25">
      <w:pPr>
        <w:pStyle w:val="Heading1"/>
      </w:pPr>
      <w:r>
        <w:t>3. Conclusion</w:t>
      </w:r>
    </w:p>
    <w:p w14:paraId="445A5FA7" w14:textId="41613AB8" w:rsidR="00607B25" w:rsidRDefault="00607B25" w:rsidP="00607B25">
      <w:pPr>
        <w:spacing w:before="120" w:after="0"/>
      </w:pPr>
      <w:bookmarkStart w:id="8" w:name="_Hlk512894710"/>
      <w:r>
        <w:t>Based on the above discussions, we recommend RAN2 discusses the following observations and proposals:</w:t>
      </w:r>
      <w:bookmarkEnd w:id="8"/>
    </w:p>
    <w:p w14:paraId="4A1680DB" w14:textId="0BA60ECA" w:rsidR="00B03E07" w:rsidRDefault="00B03E07" w:rsidP="00607B25">
      <w:pPr>
        <w:spacing w:before="120" w:after="0"/>
      </w:pPr>
      <w:r>
        <w:fldChar w:fldCharType="begin"/>
      </w:r>
      <w:r>
        <w:instrText xml:space="preserve"> REF _Ref20734487 \h </w:instrText>
      </w:r>
      <w:r>
        <w:fldChar w:fldCharType="separate"/>
      </w:r>
      <w:r w:rsidRPr="00832154">
        <w:rPr>
          <w:b/>
        </w:rPr>
        <w:t xml:space="preserve">Observation 1. MN relies on L1/L2 ACK to confirm the reception of the </w:t>
      </w:r>
      <w:r w:rsidRPr="00AF06B6">
        <w:rPr>
          <w:b/>
        </w:rPr>
        <w:t xml:space="preserve">conditional PSCell addition/change </w:t>
      </w:r>
      <w:r w:rsidRPr="00832154">
        <w:rPr>
          <w:b/>
        </w:rPr>
        <w:t>RRC Reconfiguration message by the UE.</w:t>
      </w:r>
      <w:r>
        <w:fldChar w:fldCharType="end"/>
      </w:r>
    </w:p>
    <w:p w14:paraId="32B1E9DA" w14:textId="32F3EF4E" w:rsidR="00B03E07" w:rsidRDefault="00B03E07" w:rsidP="00607B25">
      <w:pPr>
        <w:spacing w:before="120" w:after="0"/>
      </w:pPr>
      <w:r>
        <w:fldChar w:fldCharType="begin"/>
      </w:r>
      <w:r>
        <w:instrText xml:space="preserve"> REF _Ref20412207 \h </w:instrText>
      </w:r>
      <w:r>
        <w:fldChar w:fldCharType="separate"/>
      </w:r>
      <w:r w:rsidRPr="005710FA">
        <w:rPr>
          <w:b/>
        </w:rPr>
        <w:t xml:space="preserve">Proposal </w:t>
      </w:r>
      <w:r>
        <w:rPr>
          <w:b/>
          <w:noProof/>
        </w:rPr>
        <w:t>1</w:t>
      </w:r>
      <w:r w:rsidRPr="005710FA">
        <w:rPr>
          <w:b/>
        </w:rPr>
        <w:t xml:space="preserve">. </w:t>
      </w:r>
      <w:r>
        <w:rPr>
          <w:b/>
        </w:rPr>
        <w:t xml:space="preserve">Support </w:t>
      </w:r>
      <w:r w:rsidRPr="005710FA">
        <w:rPr>
          <w:b/>
        </w:rPr>
        <w:t xml:space="preserve">Conditional PSCell addition/change </w:t>
      </w:r>
      <w:r>
        <w:rPr>
          <w:b/>
        </w:rPr>
        <w:t>for</w:t>
      </w:r>
      <w:r w:rsidRPr="005710FA">
        <w:rPr>
          <w:b/>
        </w:rPr>
        <w:t xml:space="preserve"> MR-DC architecture options of EN-DC, NGEN-DC and NR-DC</w:t>
      </w:r>
      <w:r>
        <w:rPr>
          <w:b/>
        </w:rPr>
        <w:t>, where gNB is the SN.</w:t>
      </w:r>
      <w:r>
        <w:fldChar w:fldCharType="end"/>
      </w:r>
    </w:p>
    <w:p w14:paraId="04A0D5D7" w14:textId="77777777" w:rsidR="002E5BE7" w:rsidRDefault="002E5BE7" w:rsidP="002E5BE7">
      <w:pPr>
        <w:spacing w:before="120"/>
        <w:rPr>
          <w:b/>
        </w:rPr>
      </w:pPr>
      <w:r w:rsidRPr="00572F3C">
        <w:rPr>
          <w:b/>
        </w:rPr>
        <w:lastRenderedPageBreak/>
        <w:t xml:space="preserve">Observation </w:t>
      </w:r>
      <w:r w:rsidRPr="00572F3C">
        <w:rPr>
          <w:b/>
        </w:rPr>
        <w:fldChar w:fldCharType="begin"/>
      </w:r>
      <w:r w:rsidRPr="00572F3C">
        <w:rPr>
          <w:b/>
        </w:rPr>
        <w:instrText xml:space="preserve"> SEQ Observation \* ARABIC </w:instrText>
      </w:r>
      <w:r w:rsidRPr="00572F3C">
        <w:rPr>
          <w:b/>
        </w:rPr>
        <w:fldChar w:fldCharType="separate"/>
      </w:r>
      <w:r>
        <w:rPr>
          <w:b/>
          <w:noProof/>
        </w:rPr>
        <w:t>2</w:t>
      </w:r>
      <w:r w:rsidRPr="00572F3C">
        <w:rPr>
          <w:b/>
        </w:rPr>
        <w:fldChar w:fldCharType="end"/>
      </w:r>
      <w:r w:rsidRPr="00572F3C">
        <w:rPr>
          <w:b/>
        </w:rPr>
        <w:t xml:space="preserve">. In MR-DC SN addition/change procedures, MN connection is </w:t>
      </w:r>
      <w:r>
        <w:rPr>
          <w:b/>
        </w:rPr>
        <w:t>maintained</w:t>
      </w:r>
      <w:r w:rsidRPr="00572F3C">
        <w:rPr>
          <w:b/>
        </w:rPr>
        <w:t xml:space="preserve"> and MN controls the configuration of the SN addition/change.</w:t>
      </w:r>
    </w:p>
    <w:p w14:paraId="66A2D46A" w14:textId="77777777" w:rsidR="002E5BE7" w:rsidRPr="00DE2DD0" w:rsidRDefault="002E5BE7" w:rsidP="002E5BE7">
      <w:pPr>
        <w:rPr>
          <w:b/>
          <w:bCs/>
        </w:rPr>
      </w:pPr>
      <w:r w:rsidRPr="00DE2DD0">
        <w:rPr>
          <w:b/>
          <w:bCs/>
        </w:rPr>
        <w:t>Proposal 2: Add “conditional SN addition” indicator into SN Addition Request.</w:t>
      </w:r>
    </w:p>
    <w:p w14:paraId="0FBBCEA9" w14:textId="77777777" w:rsidR="002E5BE7" w:rsidRPr="00613292" w:rsidRDefault="002E5BE7" w:rsidP="002E5BE7">
      <w:pPr>
        <w:rPr>
          <w:b/>
          <w:bCs/>
        </w:rPr>
      </w:pPr>
      <w:r w:rsidRPr="00613292">
        <w:rPr>
          <w:b/>
          <w:bCs/>
        </w:rPr>
        <w:t xml:space="preserve">Observation 3: Existing SN Release, SN Modification and SN Reconfiguration complete procedure can be used for SN release, SN modification and SN addition/change complete. </w:t>
      </w:r>
    </w:p>
    <w:p w14:paraId="00B4D036" w14:textId="33A46030" w:rsidR="00B90151" w:rsidRDefault="00B90151" w:rsidP="00B90151">
      <w:pPr>
        <w:rPr>
          <w:b/>
          <w:bCs/>
        </w:rPr>
      </w:pPr>
      <w:r w:rsidRPr="00B90151">
        <w:rPr>
          <w:b/>
          <w:bCs/>
        </w:rPr>
        <w:t>Proposal 3: For conditional SN Addition/Change, late data forwarding is supported as baseline, early data forwarding could be supported up to implementation.</w:t>
      </w:r>
    </w:p>
    <w:p w14:paraId="440AF099" w14:textId="77777777" w:rsidR="00B90151" w:rsidRPr="00B90151" w:rsidRDefault="00B90151" w:rsidP="00B90151">
      <w:pPr>
        <w:rPr>
          <w:b/>
          <w:bCs/>
        </w:rPr>
      </w:pPr>
    </w:p>
    <w:p w14:paraId="3FD9EC9B" w14:textId="77777777" w:rsidR="00607B25" w:rsidRDefault="00607B25" w:rsidP="00607B25">
      <w:pPr>
        <w:pStyle w:val="Heading1"/>
      </w:pPr>
      <w:r>
        <w:t>4. References</w:t>
      </w:r>
    </w:p>
    <w:p w14:paraId="1B092BC9" w14:textId="6A447097" w:rsidR="00EE7870" w:rsidRDefault="00607B25" w:rsidP="00607B25">
      <w:pPr>
        <w:ind w:left="1350" w:hanging="1350"/>
        <w:rPr>
          <w:rFonts w:ascii="Arial" w:hAnsi="Arial" w:cs="Arial"/>
          <w:bCs/>
        </w:rPr>
      </w:pPr>
      <w:r w:rsidRPr="00944C55">
        <w:rPr>
          <w:rFonts w:ascii="Arial" w:hAnsi="Arial" w:cs="Arial"/>
          <w:bCs/>
        </w:rPr>
        <w:t xml:space="preserve">[1] </w:t>
      </w:r>
      <w:r w:rsidR="00EE7870" w:rsidRPr="00EE7870">
        <w:rPr>
          <w:rFonts w:ascii="Arial" w:hAnsi="Arial" w:cs="Arial"/>
          <w:bCs/>
        </w:rPr>
        <w:t>RP-192277</w:t>
      </w:r>
      <w:r w:rsidR="00EE7870">
        <w:rPr>
          <w:rFonts w:ascii="Arial" w:hAnsi="Arial" w:cs="Arial"/>
          <w:bCs/>
        </w:rPr>
        <w:t xml:space="preserve"> </w:t>
      </w:r>
      <w:r w:rsidR="00EE7870" w:rsidRPr="00EE7870">
        <w:rPr>
          <w:rFonts w:ascii="Arial" w:hAnsi="Arial" w:cs="Arial"/>
          <w:bCs/>
        </w:rPr>
        <w:t>New WID: NR mobility enhancements</w:t>
      </w:r>
    </w:p>
    <w:p w14:paraId="437189B4" w14:textId="24885E6D" w:rsidR="001B5EAD" w:rsidRDefault="001B5EAD" w:rsidP="001B5EAD">
      <w:pPr>
        <w:pStyle w:val="Heading1"/>
      </w:pPr>
      <w:r>
        <w:t>A. Appendix</w:t>
      </w:r>
    </w:p>
    <w:p w14:paraId="5CA34920" w14:textId="77777777" w:rsidR="001B5EAD" w:rsidRDefault="001B5EAD" w:rsidP="001B5EAD">
      <w:r>
        <w:t>RAN2#105bis agreements</w:t>
      </w:r>
    </w:p>
    <w:p w14:paraId="7F393395"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Agreements</w:t>
      </w:r>
    </w:p>
    <w:p w14:paraId="507CE12D"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0:</w:t>
      </w:r>
      <w:r w:rsidRPr="007644CE">
        <w:tab/>
        <w:t>CHO is introduced in NR to solve robustness/reliability issue.</w:t>
      </w:r>
    </w:p>
    <w:p w14:paraId="61D75389"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1CACA6F5"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 xml:space="preserve">1:The LTE agreements below are applicable for NR: </w:t>
      </w:r>
    </w:p>
    <w:p w14:paraId="268DC5F8"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27F08114"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 xml:space="preserve">a/ CHO is defined as UE having network configuration for initiating access to a target cell based on configured condition(s). </w:t>
      </w:r>
    </w:p>
    <w:p w14:paraId="5094A8C4"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b/ Usage of conditional handover is decided by network. UE evaluates when the condition is valid.</w:t>
      </w:r>
    </w:p>
    <w:p w14:paraId="721B527F"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c/ Support configuration of one or more candidate cells for conditional handover;</w:t>
      </w:r>
    </w:p>
    <w:p w14:paraId="1D38D68A"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=&gt;</w:t>
      </w:r>
      <w:r w:rsidRPr="007644CE">
        <w:tab/>
        <w:t>FFS how many candidate cells (UE and network impacts should be clarified).</w:t>
      </w:r>
    </w:p>
    <w:p w14:paraId="288B1E1D"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=&gt;</w:t>
      </w:r>
      <w:r w:rsidRPr="007644CE">
        <w:tab/>
        <w:t>FFS how to include the CHO conditions in UE configuration</w:t>
      </w:r>
    </w:p>
    <w:p w14:paraId="7C0EF7ED"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654A448B"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d/ The baseline operation for Conditional HO procedure assumes HO command type of message contains HO triggering condition(s) and dedicated RRC configuration(s). UE accesses the prepared target when the relevant condition is met.</w:t>
      </w:r>
    </w:p>
    <w:p w14:paraId="6D3475AA"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 xml:space="preserve">e/ The baseline operation for Conditional HO assumes the source RAN remains responsible for RRC until UE successfully sends RRC Reconfiguration Complete message to target RAN. </w:t>
      </w:r>
    </w:p>
    <w:p w14:paraId="1092ED8D"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 xml:space="preserve">f/ </w:t>
      </w:r>
      <w:r w:rsidRPr="007644CE">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FAFF830"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4CD12B98"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2</w:t>
      </w:r>
      <w:r w:rsidRPr="007644CE">
        <w:tab/>
        <w:t>Cell level quality is used as baseline for CHO execution condition;</w:t>
      </w:r>
    </w:p>
    <w:p w14:paraId="0F823E43"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on whether beam quality is used as input for CHO execution condition.</w:t>
      </w:r>
    </w:p>
    <w:p w14:paraId="129B543A"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6BFAFE46"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 RS type SSB can be used</w:t>
      </w:r>
    </w:p>
    <w:p w14:paraId="16F9AF08"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CSI-RS, use of more than one RS type</w:t>
      </w:r>
    </w:p>
    <w:p w14:paraId="03BC7318"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6F980122"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4</w:t>
      </w:r>
      <w:r w:rsidRPr="007644CE">
        <w:tab/>
        <w:t>Ax events (entry condition) are used for CHO execution condition and A3/5 as baseline</w:t>
      </w:r>
    </w:p>
    <w:p w14:paraId="35707601"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on other events</w:t>
      </w:r>
    </w:p>
    <w:p w14:paraId="366BD98F"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62860A94"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5</w:t>
      </w:r>
      <w:r w:rsidRPr="007644CE">
        <w:tab/>
        <w:t xml:space="preserve">Trigger quantity for CHO execution condition(RSRP, RSRQ or RS-SINR) is configured by network. </w:t>
      </w:r>
    </w:p>
    <w:p w14:paraId="4B50C27B"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on multiple quantities.</w:t>
      </w:r>
    </w:p>
    <w:p w14:paraId="7441C60B"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1A577A47"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r w:rsidRPr="007644CE">
        <w:t>FFS: Enhancements to the above CHO framework to specifically address usage in FR2 (e.g. address high number of handovers, RLFs, etc)</w:t>
      </w:r>
    </w:p>
    <w:p w14:paraId="28FAA706" w14:textId="77777777" w:rsidR="001B5EAD" w:rsidRPr="007644CE" w:rsidRDefault="001B5EAD" w:rsidP="001B5EAD">
      <w:pPr>
        <w:pStyle w:val="Doc-text2"/>
        <w:pBdr>
          <w:top w:val="single" w:sz="4" w:space="1" w:color="auto"/>
          <w:left w:val="single" w:sz="4" w:space="4" w:color="auto"/>
          <w:bottom w:val="single" w:sz="4" w:space="1" w:color="auto"/>
          <w:right w:val="single" w:sz="4" w:space="4" w:color="auto"/>
        </w:pBdr>
      </w:pPr>
    </w:p>
    <w:p w14:paraId="32E6519F" w14:textId="77777777" w:rsidR="001B5EAD" w:rsidRDefault="001B5EAD" w:rsidP="001B5EAD"/>
    <w:p w14:paraId="48D5FC54" w14:textId="77777777" w:rsidR="001B5EAD" w:rsidRDefault="001B5EAD" w:rsidP="001B5EAD">
      <w:r>
        <w:t>RAN2#106 agreements</w:t>
      </w:r>
    </w:p>
    <w:p w14:paraId="543E0BDD"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Agreements</w:t>
      </w:r>
    </w:p>
    <w:p w14:paraId="6B5A05F5"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The source cell decides on the condition for the execution of CHO. </w:t>
      </w:r>
    </w:p>
    <w:p w14:paraId="77A37EB0"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w:t>
      </w:r>
      <w:r w:rsidRPr="000C3C1B">
        <w:tab/>
        <w:t>The source cell adds the condition for the execution of CHO to the RRC message sent to UE.</w:t>
      </w:r>
    </w:p>
    <w:p w14:paraId="56401B59"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4</w:t>
      </w:r>
      <w:r w:rsidRPr="000C3C1B">
        <w:tab/>
        <w:t>Multiple CHO candidate cells can be sent in either one or multiple RRC messages. FFS on signalling details. FFS how CHO execution is handled.</w:t>
      </w:r>
    </w:p>
    <w:p w14:paraId="74661772"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5</w:t>
      </w:r>
      <w:r w:rsidRPr="000C3C1B">
        <w:tab/>
        <w:t>CHO execution does not trigger measurement report.</w:t>
      </w:r>
    </w:p>
    <w:p w14:paraId="0B9E62C2"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6</w:t>
      </w:r>
      <w:r w:rsidRPr="000C3C1B">
        <w:tab/>
        <w:t>On cell level A3/A5-like CHO execution condition shall be specified (other events will not be specified without clear justifications)</w:t>
      </w:r>
    </w:p>
    <w:p w14:paraId="563F6725" w14:textId="77777777" w:rsidR="001B5EAD" w:rsidRDefault="001B5EAD" w:rsidP="001B5EAD"/>
    <w:p w14:paraId="5964D8E5"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Agreements</w:t>
      </w:r>
    </w:p>
    <w:p w14:paraId="0CE1BCF6"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1:</w:t>
      </w:r>
      <w:r w:rsidRPr="000C3C1B">
        <w:tab/>
        <w:t>Separate CHO execution condition(s) can be configured for each individual candidate cells.</w:t>
      </w:r>
    </w:p>
    <w:p w14:paraId="4B1ACED5"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2</w:t>
      </w:r>
      <w:r w:rsidRPr="000C3C1B">
        <w:tab/>
        <w:t>Define a CHO execution condition by the measurement identity which identifies a measurement configuration. (FFS to be addressed in stage 3 which parts of the measurement configuration are used for the CHO triggering)</w:t>
      </w:r>
    </w:p>
    <w:p w14:paraId="5E7D9453"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w:t>
      </w:r>
      <w:r w:rsidRPr="000C3C1B">
        <w:tab/>
        <w:t>As a baseline CHO can be triggered based on a condition consisting of a single event, single RS type, singe quantity.</w:t>
      </w:r>
    </w:p>
    <w:p w14:paraId="12B010EB"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3.1</w:t>
      </w:r>
      <w:r w:rsidRPr="000C3C1B">
        <w:tab/>
        <w:t>The single trigger quantity can be configured to be RSRP, RSRQ or RS-SINR</w:t>
      </w:r>
    </w:p>
    <w:p w14:paraId="0785B5E8"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3.2</w:t>
      </w:r>
      <w:r w:rsidRPr="000C3C1B">
        <w:tab/>
        <w:t>The single RS type can be configured to be SSB or CSI-RS</w:t>
      </w:r>
    </w:p>
    <w:p w14:paraId="2FA0310A"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FFS Whether multiple triggering conditions are required.</w:t>
      </w:r>
    </w:p>
    <w:p w14:paraId="2F862978"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p>
    <w:p w14:paraId="48F1BC75" w14:textId="77777777" w:rsidR="001B5EAD" w:rsidRDefault="001B5EAD" w:rsidP="001B5EAD"/>
    <w:p w14:paraId="7CD7A280"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Agreements</w:t>
      </w:r>
    </w:p>
    <w:p w14:paraId="77820C12"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1</w:t>
      </w:r>
      <w:r w:rsidRPr="000C3C1B">
        <w:tab/>
        <w:t>Deconfiguration of CHO candidates is performed by RRC signalling (we will not introduce timer based mechanism for the UE to deconfiguration of the CHO candidates)</w:t>
      </w:r>
    </w:p>
    <w:p w14:paraId="53160D3E"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2</w:t>
      </w:r>
      <w:r w:rsidRPr="000C3C1B">
        <w:tab/>
        <w:t>Baseline that configuration of all CHO candidates are released after successful (any) handover completion (sending complete message to the target cell).</w:t>
      </w:r>
    </w:p>
    <w:p w14:paraId="1006E35C"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FFS if it might be possible to keep CHO candidates after the HO.</w:t>
      </w:r>
    </w:p>
    <w:p w14:paraId="734D001C" w14:textId="77777777" w:rsidR="001B5EAD" w:rsidRPr="000C3C1B" w:rsidRDefault="001B5EAD" w:rsidP="001B5EAD">
      <w:pPr>
        <w:pStyle w:val="Doc-text2"/>
      </w:pPr>
    </w:p>
    <w:p w14:paraId="6C0A1B25"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Agreements</w:t>
      </w:r>
    </w:p>
    <w:p w14:paraId="5AC046B6"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1</w:t>
      </w:r>
      <w:r w:rsidRPr="000C3C1B">
        <w:tab/>
        <w:t xml:space="preserve">UE shall not stop T310 and shall not start T304 when it receives configuration of a CHO candidate </w:t>
      </w:r>
    </w:p>
    <w:p w14:paraId="1D65A017"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2.</w:t>
      </w:r>
      <w:r w:rsidRPr="000C3C1B">
        <w:tab/>
        <w:t>The timer T310 is stopped and timer T304-like is started when the UE begins execution of a conditional handover for a target cell. (Stage 3 detail whether we reuse T304 or define a new timer)</w:t>
      </w:r>
    </w:p>
    <w:p w14:paraId="5EBB6261"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p>
    <w:p w14:paraId="55B9FCC7"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Working assumption (to be confirmed next meeting after checking further details)</w:t>
      </w:r>
    </w:p>
    <w:p w14:paraId="5B233A74"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3</w:t>
      </w:r>
      <w:r w:rsidRPr="000C3C1B">
        <w:tab/>
        <w:t>At RLF the UE performs cell selection and if the selected cell is a CHO candidate then the UE attempts CHO execution, otherwise re-establishment is performed</w:t>
      </w:r>
    </w:p>
    <w:p w14:paraId="71865E03" w14:textId="77777777" w:rsidR="001B5EAD" w:rsidRPr="000C3C1B" w:rsidRDefault="001B5EAD" w:rsidP="001B5EAD">
      <w:pPr>
        <w:pStyle w:val="Doc-text2"/>
        <w:pBdr>
          <w:top w:val="single" w:sz="4" w:space="1" w:color="auto"/>
          <w:left w:val="single" w:sz="4" w:space="4" w:color="auto"/>
          <w:bottom w:val="single" w:sz="4" w:space="1" w:color="auto"/>
          <w:right w:val="single" w:sz="4" w:space="4" w:color="auto"/>
        </w:pBdr>
      </w:pPr>
      <w:r w:rsidRPr="000C3C1B">
        <w:t>4</w:t>
      </w:r>
      <w:r w:rsidRPr="000C3C1B">
        <w:tab/>
        <w:t>At legacy handover failure (T304 expiry) or failure to access a CHO candidate cell (T304-like expiry), the UE performs cell selection and if the selected cell is a CHO candidate then the UE attempts CHO execution, otherwise re-establishment is performed</w:t>
      </w:r>
    </w:p>
    <w:p w14:paraId="4AD18C2E" w14:textId="77777777" w:rsidR="001B5EAD" w:rsidRPr="000C3C1B" w:rsidRDefault="001B5EAD" w:rsidP="001B5EAD">
      <w:pPr>
        <w:pStyle w:val="Doc-text2"/>
      </w:pPr>
    </w:p>
    <w:p w14:paraId="63FB9A8C" w14:textId="77777777" w:rsidR="001B5EAD" w:rsidRDefault="001B5EAD" w:rsidP="001B5EAD">
      <w:r>
        <w:t>RAN2#107 agreements</w:t>
      </w:r>
    </w:p>
    <w:p w14:paraId="4664E4E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Agreements</w:t>
      </w:r>
    </w:p>
    <w:p w14:paraId="27ADFE9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590C685A"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 with multi-beam operation.</w:t>
      </w:r>
    </w:p>
    <w:p w14:paraId="4C0C36D0" w14:textId="77777777" w:rsidR="001B5EAD" w:rsidRPr="0089067F" w:rsidRDefault="001B5EAD" w:rsidP="001B5EAD">
      <w:pPr>
        <w:pStyle w:val="Doc-text2"/>
      </w:pPr>
    </w:p>
    <w:p w14:paraId="0B9F958B"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Agreements</w:t>
      </w:r>
    </w:p>
    <w:p w14:paraId="0438B00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0DC55DFA"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lastRenderedPageBreak/>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67B2EF19"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568B8386"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414185AB"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r>
        <w:t>FFS how HO failure is handled.</w:t>
      </w:r>
    </w:p>
    <w:p w14:paraId="09B1D0B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05A16716"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1BFC5F9B"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3BEC820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7B44C2F1"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17F7A28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1223863E"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77E1A088"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25D88176"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7DEB4FAD"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475C8873" w14:textId="77777777" w:rsidR="001B5EAD" w:rsidRDefault="001B5EAD" w:rsidP="001B5EAD">
      <w:pPr>
        <w:pStyle w:val="Doc-text2"/>
        <w:ind w:left="0" w:firstLine="0"/>
      </w:pPr>
    </w:p>
    <w:p w14:paraId="43EB6D22" w14:textId="77777777" w:rsidR="001B5EAD" w:rsidRDefault="001B5EAD" w:rsidP="001B5EAD">
      <w:pPr>
        <w:pStyle w:val="Doc-text2"/>
      </w:pPr>
    </w:p>
    <w:p w14:paraId="39C68486"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Agreements</w:t>
      </w:r>
    </w:p>
    <w:p w14:paraId="0FD6D3F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3F8F3314"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73A75982"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7621C8D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09238AD9"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eNB/gNB. </w:t>
      </w:r>
    </w:p>
    <w:p w14:paraId="3392621A"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11CA4CED"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18F5CC88"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8B44C3C"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27DD5092"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7068C269"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7</w:t>
      </w:r>
      <w: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7DF71A05"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0BAE36F8"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357F7307" w14:textId="77777777" w:rsidR="001B5EAD" w:rsidRDefault="001B5EAD" w:rsidP="001B5EAD"/>
    <w:p w14:paraId="756CB073"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r>
        <w:t>Agreements</w:t>
      </w:r>
    </w:p>
    <w:p w14:paraId="65BA34F8" w14:textId="77777777" w:rsidR="001B5EAD" w:rsidRDefault="001B5EAD" w:rsidP="001B5EAD">
      <w:pPr>
        <w:pStyle w:val="Doc-text2"/>
        <w:pBdr>
          <w:top w:val="single" w:sz="4" w:space="1" w:color="auto"/>
          <w:left w:val="single" w:sz="4" w:space="4" w:color="auto"/>
          <w:bottom w:val="single" w:sz="4" w:space="1" w:color="auto"/>
          <w:right w:val="single" w:sz="4" w:space="4" w:color="auto"/>
        </w:pBdr>
      </w:pPr>
    </w:p>
    <w:p w14:paraId="338EFE6A" w14:textId="77777777" w:rsidR="001B5EAD" w:rsidRDefault="001B5EAD" w:rsidP="001B5EAD">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pPr>
      <w:r>
        <w:t>S1/</w:t>
      </w:r>
      <w:r w:rsidRPr="009F5B08">
        <w:t>N2-based CHO is not supported for Release 16</w:t>
      </w:r>
      <w:r>
        <w:t>. RAN3 impacst to be discussed in RAN3. If we want to support this, the WID has to be updated and SA2 impacts identified.</w:t>
      </w:r>
    </w:p>
    <w:p w14:paraId="0FC2E6B4" w14:textId="77777777" w:rsidR="001B5EAD" w:rsidRPr="008F095A" w:rsidRDefault="001B5EAD" w:rsidP="001B5EAD">
      <w:pPr>
        <w:pStyle w:val="Doc-text2"/>
      </w:pPr>
    </w:p>
    <w:p w14:paraId="1BA59A23" w14:textId="77777777" w:rsidR="00607B25" w:rsidRDefault="00607B25" w:rsidP="00607B25"/>
    <w:p w14:paraId="7F74C1E5" w14:textId="77777777" w:rsidR="00412E17" w:rsidRDefault="00412E17"/>
    <w:sectPr w:rsidR="00412E17" w:rsidSect="00980BD0">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A0982" w14:textId="77777777" w:rsidR="00697B05" w:rsidRDefault="00697B05" w:rsidP="00C87926">
      <w:pPr>
        <w:spacing w:after="0"/>
      </w:pPr>
      <w:r>
        <w:separator/>
      </w:r>
    </w:p>
  </w:endnote>
  <w:endnote w:type="continuationSeparator" w:id="0">
    <w:p w14:paraId="303B828B" w14:textId="77777777" w:rsidR="00697B05" w:rsidRDefault="00697B05" w:rsidP="00C87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703A9" w14:textId="77777777" w:rsidR="00980BD0" w:rsidRDefault="00980B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8694B" w14:textId="77777777" w:rsidR="00697B05" w:rsidRDefault="00697B05" w:rsidP="00C87926">
      <w:pPr>
        <w:spacing w:after="0"/>
      </w:pPr>
      <w:r>
        <w:separator/>
      </w:r>
    </w:p>
  </w:footnote>
  <w:footnote w:type="continuationSeparator" w:id="0">
    <w:p w14:paraId="40274A1C" w14:textId="77777777" w:rsidR="00697B05" w:rsidRDefault="00697B05" w:rsidP="00C879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F7193"/>
    <w:multiLevelType w:val="hybridMultilevel"/>
    <w:tmpl w:val="B72A5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5BDA404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FA6C942">
      <w:start w:val="1"/>
      <w:numFmt w:val="bullet"/>
      <w:lvlText w:val="-"/>
      <w:lvlJc w:val="left"/>
      <w:pPr>
        <w:ind w:left="3600" w:hanging="360"/>
      </w:pPr>
      <w:rPr>
        <w:rFonts w:ascii="Arial" w:eastAsia="Times New Roman"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3762ED1"/>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B80B91"/>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0C27B14"/>
    <w:multiLevelType w:val="hybridMultilevel"/>
    <w:tmpl w:val="21AE6D9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454058"/>
    <w:multiLevelType w:val="hybridMultilevel"/>
    <w:tmpl w:val="4CC48F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4"/>
  </w:num>
  <w:num w:numId="4">
    <w:abstractNumId w:val="22"/>
  </w:num>
  <w:num w:numId="5">
    <w:abstractNumId w:val="1"/>
  </w:num>
  <w:num w:numId="6">
    <w:abstractNumId w:val="7"/>
  </w:num>
  <w:num w:numId="7">
    <w:abstractNumId w:val="17"/>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8"/>
  </w:num>
  <w:num w:numId="11">
    <w:abstractNumId w:val="10"/>
  </w:num>
  <w:num w:numId="12">
    <w:abstractNumId w:val="15"/>
  </w:num>
  <w:num w:numId="13">
    <w:abstractNumId w:val="11"/>
  </w:num>
  <w:num w:numId="14">
    <w:abstractNumId w:val="20"/>
  </w:num>
  <w:num w:numId="15">
    <w:abstractNumId w:val="2"/>
  </w:num>
  <w:num w:numId="16">
    <w:abstractNumId w:val="13"/>
  </w:num>
  <w:num w:numId="17">
    <w:abstractNumId w:val="21"/>
  </w:num>
  <w:num w:numId="18">
    <w:abstractNumId w:val="9"/>
  </w:num>
  <w:num w:numId="19">
    <w:abstractNumId w:val="3"/>
  </w:num>
  <w:num w:numId="20">
    <w:abstractNumId w:val="0"/>
  </w:num>
  <w:num w:numId="21">
    <w:abstractNumId w:val="14"/>
  </w:num>
  <w:num w:numId="22">
    <w:abstractNumId w:val="6"/>
  </w:num>
  <w:num w:numId="23">
    <w:abstractNumId w:val="1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B25"/>
    <w:rsid w:val="00003258"/>
    <w:rsid w:val="00046947"/>
    <w:rsid w:val="000F2EA6"/>
    <w:rsid w:val="0014697D"/>
    <w:rsid w:val="0018639E"/>
    <w:rsid w:val="001B5EAD"/>
    <w:rsid w:val="002121B6"/>
    <w:rsid w:val="00252FB6"/>
    <w:rsid w:val="00275B64"/>
    <w:rsid w:val="0028035A"/>
    <w:rsid w:val="002E5BE7"/>
    <w:rsid w:val="00314599"/>
    <w:rsid w:val="00393327"/>
    <w:rsid w:val="003B12C9"/>
    <w:rsid w:val="003C7BB8"/>
    <w:rsid w:val="003D3B0E"/>
    <w:rsid w:val="00412E17"/>
    <w:rsid w:val="00432F29"/>
    <w:rsid w:val="00487CB9"/>
    <w:rsid w:val="00495C83"/>
    <w:rsid w:val="004A03B4"/>
    <w:rsid w:val="0050422E"/>
    <w:rsid w:val="00515154"/>
    <w:rsid w:val="005710FA"/>
    <w:rsid w:val="00572F3C"/>
    <w:rsid w:val="005A5B5D"/>
    <w:rsid w:val="005D7F39"/>
    <w:rsid w:val="005F448C"/>
    <w:rsid w:val="00607B25"/>
    <w:rsid w:val="00613292"/>
    <w:rsid w:val="00697B05"/>
    <w:rsid w:val="006F61F3"/>
    <w:rsid w:val="007279A7"/>
    <w:rsid w:val="00832154"/>
    <w:rsid w:val="0083650F"/>
    <w:rsid w:val="00837F8F"/>
    <w:rsid w:val="00923EA8"/>
    <w:rsid w:val="0092645F"/>
    <w:rsid w:val="00980BD0"/>
    <w:rsid w:val="009A5C66"/>
    <w:rsid w:val="009C5700"/>
    <w:rsid w:val="009E02B1"/>
    <w:rsid w:val="00A665A7"/>
    <w:rsid w:val="00A66922"/>
    <w:rsid w:val="00A85C12"/>
    <w:rsid w:val="00AF06B6"/>
    <w:rsid w:val="00AF1CBE"/>
    <w:rsid w:val="00B03E07"/>
    <w:rsid w:val="00B67EC9"/>
    <w:rsid w:val="00B7732A"/>
    <w:rsid w:val="00B90151"/>
    <w:rsid w:val="00BB0608"/>
    <w:rsid w:val="00BB5F26"/>
    <w:rsid w:val="00BE77F8"/>
    <w:rsid w:val="00C87926"/>
    <w:rsid w:val="00CF7466"/>
    <w:rsid w:val="00D869F6"/>
    <w:rsid w:val="00DE2DD0"/>
    <w:rsid w:val="00E26715"/>
    <w:rsid w:val="00E65985"/>
    <w:rsid w:val="00E71BD3"/>
    <w:rsid w:val="00E75BAC"/>
    <w:rsid w:val="00E94F4E"/>
    <w:rsid w:val="00EA6E28"/>
    <w:rsid w:val="00ED7AB0"/>
    <w:rsid w:val="00EE7870"/>
    <w:rsid w:val="00FF1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431F0"/>
  <w15:chartTrackingRefBased/>
  <w15:docId w15:val="{BA1AC97B-FC55-41F5-99CC-306393B8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07B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07B25"/>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607B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7B25"/>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607B25"/>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607B25"/>
    <w:pPr>
      <w:widowControl w:val="0"/>
      <w:spacing w:after="0"/>
      <w:jc w:val="center"/>
    </w:pPr>
    <w:rPr>
      <w:rFonts w:ascii="Arial" w:hAnsi="Arial"/>
      <w:b/>
      <w:i/>
      <w:noProof/>
      <w:sz w:val="18"/>
    </w:rPr>
  </w:style>
  <w:style w:type="character" w:customStyle="1" w:styleId="FooterChar">
    <w:name w:val="Footer Char"/>
    <w:basedOn w:val="DefaultParagraphFont"/>
    <w:link w:val="Footer"/>
    <w:rsid w:val="00607B25"/>
    <w:rPr>
      <w:rFonts w:ascii="Arial" w:eastAsia="Malgun Gothic" w:hAnsi="Arial" w:cs="Times New Roman"/>
      <w:b/>
      <w:i/>
      <w:noProof/>
      <w:sz w:val="18"/>
      <w:szCs w:val="20"/>
      <w:lang w:val="en-GB"/>
    </w:rPr>
  </w:style>
  <w:style w:type="paragraph" w:customStyle="1" w:styleId="CRCoverPage">
    <w:name w:val="CR Cover Page"/>
    <w:link w:val="CRCoverPageZchn"/>
    <w:rsid w:val="00607B25"/>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607B25"/>
    <w:rPr>
      <w:rFonts w:ascii="Arial" w:eastAsia="MS Mincho" w:hAnsi="Arial" w:cs="Times New Roman"/>
      <w:sz w:val="20"/>
      <w:szCs w:val="20"/>
      <w:lang w:val="en-GB"/>
    </w:rPr>
  </w:style>
  <w:style w:type="paragraph" w:styleId="Caption">
    <w:name w:val="caption"/>
    <w:basedOn w:val="Normal"/>
    <w:next w:val="Normal"/>
    <w:uiPriority w:val="35"/>
    <w:unhideWhenUsed/>
    <w:qFormat/>
    <w:rsid w:val="00607B25"/>
    <w:pPr>
      <w:spacing w:after="200"/>
    </w:pPr>
    <w:rPr>
      <w:i/>
      <w:iCs/>
      <w:color w:val="44546A" w:themeColor="text2"/>
      <w:sz w:val="18"/>
      <w:szCs w:val="18"/>
    </w:rPr>
  </w:style>
  <w:style w:type="paragraph" w:customStyle="1" w:styleId="Doc-text2">
    <w:name w:val="Doc-text2"/>
    <w:basedOn w:val="Normal"/>
    <w:link w:val="Doc-text2Char"/>
    <w:qFormat/>
    <w:rsid w:val="00607B2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607B25"/>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EE78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870"/>
    <w:rPr>
      <w:rFonts w:ascii="Segoe UI" w:eastAsia="Malgun Gothic" w:hAnsi="Segoe UI" w:cs="Segoe UI"/>
      <w:sz w:val="18"/>
      <w:szCs w:val="18"/>
      <w:lang w:val="en-GB"/>
    </w:rPr>
  </w:style>
  <w:style w:type="paragraph" w:customStyle="1" w:styleId="B1">
    <w:name w:val="B1"/>
    <w:basedOn w:val="List"/>
    <w:rsid w:val="00EE7870"/>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EE7870"/>
    <w:pPr>
      <w:ind w:left="360" w:hanging="360"/>
      <w:contextualSpacing/>
    </w:pPr>
  </w:style>
  <w:style w:type="paragraph" w:styleId="ListParagraph">
    <w:name w:val="List Paragraph"/>
    <w:basedOn w:val="Normal"/>
    <w:uiPriority w:val="34"/>
    <w:qFormat/>
    <w:rsid w:val="00A85C12"/>
    <w:pPr>
      <w:ind w:left="720"/>
      <w:contextualSpacing/>
    </w:pPr>
  </w:style>
  <w:style w:type="paragraph" w:styleId="Header">
    <w:name w:val="header"/>
    <w:basedOn w:val="Normal"/>
    <w:link w:val="HeaderChar"/>
    <w:uiPriority w:val="99"/>
    <w:unhideWhenUsed/>
    <w:rsid w:val="00487CB9"/>
    <w:pPr>
      <w:tabs>
        <w:tab w:val="center" w:pos="4680"/>
        <w:tab w:val="right" w:pos="9360"/>
      </w:tabs>
      <w:spacing w:after="0"/>
    </w:pPr>
  </w:style>
  <w:style w:type="character" w:customStyle="1" w:styleId="HeaderChar">
    <w:name w:val="Header Char"/>
    <w:basedOn w:val="DefaultParagraphFont"/>
    <w:link w:val="Header"/>
    <w:uiPriority w:val="99"/>
    <w:rsid w:val="00487CB9"/>
    <w:rPr>
      <w:rFonts w:ascii="Times New Roman" w:eastAsia="Malgun Gothic" w:hAnsi="Times New Roman" w:cs="Times New Roman"/>
      <w:sz w:val="20"/>
      <w:szCs w:val="20"/>
      <w:lang w:val="en-GB"/>
    </w:rPr>
  </w:style>
  <w:style w:type="table" w:styleId="TableGrid">
    <w:name w:val="Table Grid"/>
    <w:basedOn w:val="TableNormal"/>
    <w:uiPriority w:val="39"/>
    <w:rsid w:val="00FF1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50422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838731">
      <w:bodyDiv w:val="1"/>
      <w:marLeft w:val="0"/>
      <w:marRight w:val="0"/>
      <w:marTop w:val="0"/>
      <w:marBottom w:val="0"/>
      <w:divBdr>
        <w:top w:val="none" w:sz="0" w:space="0" w:color="auto"/>
        <w:left w:val="none" w:sz="0" w:space="0" w:color="auto"/>
        <w:bottom w:val="none" w:sz="0" w:space="0" w:color="auto"/>
        <w:right w:val="none" w:sz="0" w:space="0" w:color="auto"/>
      </w:divBdr>
    </w:div>
    <w:div w:id="715737728">
      <w:bodyDiv w:val="1"/>
      <w:marLeft w:val="0"/>
      <w:marRight w:val="0"/>
      <w:marTop w:val="0"/>
      <w:marBottom w:val="0"/>
      <w:divBdr>
        <w:top w:val="none" w:sz="0" w:space="0" w:color="auto"/>
        <w:left w:val="none" w:sz="0" w:space="0" w:color="auto"/>
        <w:bottom w:val="none" w:sz="0" w:space="0" w:color="auto"/>
        <w:right w:val="none" w:sz="0" w:space="0" w:color="auto"/>
      </w:divBdr>
    </w:div>
    <w:div w:id="90846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8DEAA-F91E-4B93-8509-4DF4498E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11</cp:revision>
  <dcterms:created xsi:type="dcterms:W3CDTF">2019-10-03T21:42:00Z</dcterms:created>
  <dcterms:modified xsi:type="dcterms:W3CDTF">2019-10-05T02:56:00Z</dcterms:modified>
</cp:coreProperties>
</file>